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5DF21F" w14:textId="77777777" w:rsidR="004E2F3A" w:rsidRDefault="004E2F3A">
      <w:pPr>
        <w:pStyle w:val="Default"/>
        <w:jc w:val="center"/>
        <w:rPr>
          <w:rFonts w:ascii="Times New Roman" w:hAnsi="Times New Roman"/>
          <w:b/>
          <w:bCs/>
          <w:sz w:val="24"/>
          <w:szCs w:val="24"/>
        </w:rPr>
      </w:pPr>
    </w:p>
    <w:p w14:paraId="711E5937" w14:textId="7962DB48" w:rsidR="004E2F3A" w:rsidRDefault="00810306">
      <w:pPr>
        <w:pStyle w:val="Default"/>
        <w:jc w:val="center"/>
        <w:rPr>
          <w:rFonts w:ascii="Times New Roman" w:eastAsia="Times New Roman" w:hAnsi="Times New Roman" w:cs="Times New Roman"/>
          <w:b/>
          <w:bCs/>
          <w:i/>
          <w:iCs/>
          <w:sz w:val="24"/>
          <w:szCs w:val="24"/>
        </w:rPr>
      </w:pPr>
      <w:r>
        <w:rPr>
          <w:rFonts w:ascii="Times New Roman" w:hAnsi="Times New Roman"/>
          <w:b/>
          <w:bCs/>
          <w:sz w:val="24"/>
          <w:szCs w:val="24"/>
          <w:lang w:val="en-US"/>
        </w:rPr>
        <w:t xml:space="preserve">Sky is not the limit: Mutual Trust and Mutual Recognition </w:t>
      </w:r>
      <w:proofErr w:type="spellStart"/>
      <w:r>
        <w:rPr>
          <w:rFonts w:ascii="Times New Roman" w:hAnsi="Times New Roman"/>
          <w:b/>
          <w:bCs/>
          <w:i/>
          <w:iCs/>
          <w:sz w:val="24"/>
          <w:szCs w:val="24"/>
          <w:lang w:val="en-US"/>
        </w:rPr>
        <w:t>aprés</w:t>
      </w:r>
      <w:proofErr w:type="spellEnd"/>
      <w:r>
        <w:rPr>
          <w:rFonts w:ascii="Times New Roman" w:hAnsi="Times New Roman"/>
          <w:b/>
          <w:bCs/>
          <w:sz w:val="24"/>
          <w:szCs w:val="24"/>
          <w:lang w:val="en-US"/>
        </w:rPr>
        <w:t xml:space="preserve"> </w:t>
      </w:r>
      <w:proofErr w:type="spellStart"/>
      <w:r>
        <w:rPr>
          <w:rFonts w:ascii="Times New Roman" w:hAnsi="Times New Roman"/>
          <w:b/>
          <w:bCs/>
          <w:i/>
          <w:iCs/>
          <w:sz w:val="24"/>
          <w:szCs w:val="24"/>
          <w:lang w:val="en-US"/>
        </w:rPr>
        <w:t>Aranyosi</w:t>
      </w:r>
      <w:proofErr w:type="spellEnd"/>
      <w:r w:rsidR="00CC15CB">
        <w:rPr>
          <w:rFonts w:ascii="Times New Roman" w:hAnsi="Times New Roman"/>
          <w:b/>
          <w:bCs/>
          <w:i/>
          <w:iCs/>
          <w:sz w:val="24"/>
          <w:szCs w:val="24"/>
          <w:lang w:val="en-US"/>
        </w:rPr>
        <w:t xml:space="preserve"> </w:t>
      </w:r>
      <w:r w:rsidR="00CC15CB" w:rsidRPr="00CC15CB">
        <w:rPr>
          <w:rFonts w:ascii="Times New Roman" w:hAnsi="Times New Roman"/>
          <w:b/>
          <w:bCs/>
          <w:i/>
          <w:iCs/>
          <w:sz w:val="24"/>
          <w:szCs w:val="24"/>
          <w:lang w:val="en-US"/>
        </w:rPr>
        <w:t xml:space="preserve">and </w:t>
      </w:r>
      <w:proofErr w:type="spellStart"/>
      <w:r w:rsidR="00CC15CB" w:rsidRPr="00CC15CB">
        <w:rPr>
          <w:rFonts w:ascii="Times New Roman" w:hAnsi="Times New Roman"/>
          <w:b/>
          <w:bCs/>
          <w:i/>
          <w:iCs/>
          <w:sz w:val="24"/>
          <w:szCs w:val="24"/>
          <w:lang w:val="en-US"/>
        </w:rPr>
        <w:t>Căldăraru</w:t>
      </w:r>
      <w:proofErr w:type="spellEnd"/>
    </w:p>
    <w:p w14:paraId="34517789" w14:textId="77777777" w:rsidR="004E2F3A" w:rsidRDefault="004E2F3A">
      <w:pPr>
        <w:pStyle w:val="Default"/>
        <w:jc w:val="center"/>
        <w:rPr>
          <w:rFonts w:ascii="Times New Roman" w:eastAsia="Times New Roman" w:hAnsi="Times New Roman" w:cs="Times New Roman"/>
          <w:b/>
          <w:bCs/>
          <w:i/>
          <w:iCs/>
          <w:sz w:val="24"/>
          <w:szCs w:val="24"/>
        </w:rPr>
      </w:pPr>
    </w:p>
    <w:p w14:paraId="3463939E" w14:textId="77777777" w:rsidR="004E2F3A" w:rsidRDefault="004E2F3A">
      <w:pPr>
        <w:pStyle w:val="Default"/>
        <w:rPr>
          <w:rFonts w:ascii="Times New Roman" w:eastAsia="Times New Roman" w:hAnsi="Times New Roman" w:cs="Times New Roman"/>
          <w:b/>
          <w:bCs/>
          <w:sz w:val="24"/>
          <w:szCs w:val="24"/>
        </w:rPr>
      </w:pPr>
    </w:p>
    <w:p w14:paraId="6B22EDDC" w14:textId="77777777" w:rsidR="004E2F3A" w:rsidRDefault="00810306">
      <w:pPr>
        <w:pStyle w:val="Default"/>
        <w:rPr>
          <w:rFonts w:ascii="Times New Roman" w:eastAsia="Times New Roman" w:hAnsi="Times New Roman" w:cs="Times New Roman"/>
          <w:b/>
          <w:bCs/>
          <w:sz w:val="24"/>
          <w:szCs w:val="24"/>
        </w:rPr>
      </w:pPr>
      <w:r>
        <w:rPr>
          <w:rFonts w:ascii="Times New Roman" w:hAnsi="Times New Roman"/>
          <w:b/>
          <w:bCs/>
          <w:sz w:val="24"/>
          <w:szCs w:val="24"/>
          <w:lang w:val="en-US"/>
        </w:rPr>
        <w:t xml:space="preserve">Adam </w:t>
      </w:r>
      <w:proofErr w:type="spellStart"/>
      <w:r>
        <w:rPr>
          <w:rFonts w:ascii="Times New Roman" w:hAnsi="Times New Roman"/>
          <w:b/>
          <w:bCs/>
          <w:sz w:val="24"/>
          <w:szCs w:val="24"/>
        </w:rPr>
        <w:t>Łazowski</w:t>
      </w:r>
      <w:proofErr w:type="spellEnd"/>
      <w:r w:rsidR="0036513E">
        <w:rPr>
          <w:rStyle w:val="FootnoteReference"/>
          <w:rFonts w:ascii="Times New Roman" w:hAnsi="Times New Roman"/>
          <w:b/>
          <w:bCs/>
          <w:sz w:val="24"/>
          <w:szCs w:val="24"/>
        </w:rPr>
        <w:footnoteReference w:customMarkFollows="1" w:id="2"/>
        <w:t>*</w:t>
      </w:r>
    </w:p>
    <w:p w14:paraId="360C0C7B" w14:textId="77777777" w:rsidR="004E2F3A" w:rsidRDefault="004E2F3A">
      <w:pPr>
        <w:pStyle w:val="Default"/>
        <w:rPr>
          <w:rFonts w:ascii="Times New Roman" w:eastAsia="Times New Roman" w:hAnsi="Times New Roman" w:cs="Times New Roman"/>
          <w:b/>
          <w:bCs/>
          <w:sz w:val="24"/>
          <w:szCs w:val="24"/>
        </w:rPr>
      </w:pPr>
    </w:p>
    <w:p w14:paraId="07479265" w14:textId="77777777" w:rsidR="004E2F3A" w:rsidRDefault="00810306">
      <w:pPr>
        <w:pStyle w:val="Default"/>
        <w:rPr>
          <w:rFonts w:ascii="Times New Roman" w:eastAsia="Times New Roman" w:hAnsi="Times New Roman" w:cs="Times New Roman"/>
          <w:b/>
          <w:bCs/>
          <w:sz w:val="24"/>
          <w:szCs w:val="24"/>
        </w:rPr>
      </w:pPr>
      <w:r>
        <w:rPr>
          <w:rFonts w:ascii="Times New Roman" w:hAnsi="Times New Roman"/>
          <w:b/>
          <w:bCs/>
          <w:sz w:val="24"/>
          <w:szCs w:val="24"/>
        </w:rPr>
        <w:t>1. Introduction</w:t>
      </w:r>
    </w:p>
    <w:p w14:paraId="5FC7D9A6" w14:textId="77777777" w:rsidR="004E2F3A" w:rsidRDefault="004E2F3A">
      <w:pPr>
        <w:pStyle w:val="Default"/>
        <w:rPr>
          <w:rFonts w:ascii="Times New Roman" w:eastAsia="Times New Roman" w:hAnsi="Times New Roman" w:cs="Times New Roman"/>
          <w:b/>
          <w:bCs/>
          <w:sz w:val="24"/>
          <w:szCs w:val="24"/>
        </w:rPr>
      </w:pPr>
    </w:p>
    <w:p w14:paraId="10F58E8C" w14:textId="0813A67D" w:rsidR="004E2F3A" w:rsidRDefault="00810306">
      <w:pPr>
        <w:pStyle w:val="Default"/>
        <w:jc w:val="both"/>
        <w:rPr>
          <w:rFonts w:ascii="Times New Roman" w:eastAsia="Times New Roman" w:hAnsi="Times New Roman" w:cs="Times New Roman"/>
          <w:sz w:val="24"/>
          <w:szCs w:val="24"/>
        </w:rPr>
      </w:pPr>
      <w:r>
        <w:rPr>
          <w:rFonts w:ascii="Times New Roman" w:hAnsi="Times New Roman"/>
          <w:sz w:val="24"/>
          <w:szCs w:val="24"/>
          <w:lang w:val="en-US"/>
        </w:rPr>
        <w:t xml:space="preserve">As Ernest Hemingway wrote: </w:t>
      </w:r>
      <w:r>
        <w:rPr>
          <w:rFonts w:ascii="Times New Roman" w:hAnsi="Times New Roman"/>
          <w:sz w:val="24"/>
          <w:szCs w:val="24"/>
        </w:rPr>
        <w:t>“</w:t>
      </w:r>
      <w:r w:rsidR="005775CC">
        <w:rPr>
          <w:rFonts w:ascii="Times New Roman" w:hAnsi="Times New Roman"/>
          <w:sz w:val="24"/>
          <w:szCs w:val="24"/>
          <w:lang w:val="en-US"/>
        </w:rPr>
        <w:t>t</w:t>
      </w:r>
      <w:r w:rsidR="005775CC" w:rsidRPr="005775CC">
        <w:rPr>
          <w:rFonts w:ascii="Times New Roman" w:hAnsi="Times New Roman"/>
          <w:sz w:val="24"/>
          <w:szCs w:val="24"/>
          <w:lang w:val="en-US"/>
        </w:rPr>
        <w:t>he way to make people trust-worthy is to trust them.</w:t>
      </w:r>
      <w:r>
        <w:rPr>
          <w:rFonts w:ascii="Times New Roman" w:hAnsi="Times New Roman"/>
          <w:sz w:val="24"/>
          <w:szCs w:val="24"/>
        </w:rPr>
        <w:t>”</w:t>
      </w:r>
      <w:r>
        <w:rPr>
          <w:rFonts w:ascii="Times New Roman" w:eastAsia="Times New Roman" w:hAnsi="Times New Roman" w:cs="Times New Roman"/>
          <w:sz w:val="24"/>
          <w:szCs w:val="24"/>
          <w:vertAlign w:val="superscript"/>
        </w:rPr>
        <w:footnoteReference w:id="3"/>
      </w:r>
      <w:r>
        <w:rPr>
          <w:rFonts w:ascii="Times New Roman" w:hAnsi="Times New Roman"/>
          <w:sz w:val="24"/>
          <w:szCs w:val="24"/>
          <w:lang w:val="en-US"/>
        </w:rPr>
        <w:t xml:space="preserve"> This, however, is easier said than done. Unless one deals with a case of blind trust, it is a well-known fact of life that for trust to develop several pre-conditions have to be met. And then, in equal measure, trust may be gained, </w:t>
      </w:r>
      <w:r w:rsidR="00483CE6">
        <w:rPr>
          <w:rFonts w:ascii="Times New Roman" w:hAnsi="Times New Roman"/>
          <w:sz w:val="24"/>
          <w:szCs w:val="24"/>
          <w:lang w:val="en-US"/>
        </w:rPr>
        <w:t>put to a test</w:t>
      </w:r>
      <w:r>
        <w:rPr>
          <w:rFonts w:ascii="Times New Roman" w:hAnsi="Times New Roman"/>
          <w:sz w:val="24"/>
          <w:szCs w:val="24"/>
          <w:lang w:val="en-US"/>
        </w:rPr>
        <w:t xml:space="preserve"> and eventually lost. The first frequently takes a long time, the second and the third </w:t>
      </w:r>
      <w:r w:rsidR="007F1BC4">
        <w:rPr>
          <w:rFonts w:ascii="Times New Roman" w:hAnsi="Times New Roman"/>
          <w:sz w:val="24"/>
          <w:szCs w:val="24"/>
          <w:lang w:val="en-US"/>
        </w:rPr>
        <w:t>may</w:t>
      </w:r>
      <w:r>
        <w:rPr>
          <w:rFonts w:ascii="Times New Roman" w:hAnsi="Times New Roman"/>
          <w:sz w:val="24"/>
          <w:szCs w:val="24"/>
          <w:lang w:val="en-US"/>
        </w:rPr>
        <w:t xml:space="preserve"> happen in a split second and</w:t>
      </w:r>
      <w:r w:rsidR="007F1BC4">
        <w:rPr>
          <w:rFonts w:ascii="Times New Roman" w:hAnsi="Times New Roman"/>
          <w:sz w:val="24"/>
          <w:szCs w:val="24"/>
          <w:lang w:val="en-US"/>
        </w:rPr>
        <w:t>,</w:t>
      </w:r>
      <w:r>
        <w:rPr>
          <w:rFonts w:ascii="Times New Roman" w:hAnsi="Times New Roman"/>
          <w:sz w:val="24"/>
          <w:szCs w:val="24"/>
          <w:lang w:val="en-US"/>
        </w:rPr>
        <w:t xml:space="preserve"> once the damage is done</w:t>
      </w:r>
      <w:r w:rsidR="007F1BC4">
        <w:rPr>
          <w:rFonts w:ascii="Times New Roman" w:hAnsi="Times New Roman"/>
          <w:sz w:val="24"/>
          <w:szCs w:val="24"/>
          <w:lang w:val="en-US"/>
        </w:rPr>
        <w:t>,</w:t>
      </w:r>
      <w:r>
        <w:rPr>
          <w:rFonts w:ascii="Times New Roman" w:hAnsi="Times New Roman"/>
          <w:sz w:val="24"/>
          <w:szCs w:val="24"/>
          <w:lang w:val="en-US"/>
        </w:rPr>
        <w:t xml:space="preserve"> it is rather difficult to recover. When it comes to EU law, trust - or more precisely - the principle of mutual trust, has been from the start a cornerstone of the Area of Freedom, Security and Justice and, at the same time, a precondition for the mutual recognition in criminal matters.</w:t>
      </w:r>
      <w:r>
        <w:rPr>
          <w:rFonts w:ascii="Times New Roman" w:eastAsia="Times New Roman" w:hAnsi="Times New Roman" w:cs="Times New Roman"/>
          <w:sz w:val="24"/>
          <w:szCs w:val="24"/>
          <w:vertAlign w:val="superscript"/>
        </w:rPr>
        <w:footnoteReference w:id="4"/>
      </w:r>
      <w:r>
        <w:rPr>
          <w:rFonts w:ascii="Times New Roman" w:hAnsi="Times New Roman"/>
          <w:sz w:val="24"/>
          <w:szCs w:val="24"/>
          <w:lang w:val="en-US"/>
        </w:rPr>
        <w:t xml:space="preserve"> However, from the early days questions have been raised whether sky is the limit or, in the alternative, where the limits to mutual trust and mutual recognition lay.</w:t>
      </w:r>
      <w:r w:rsidR="00CF6B55">
        <w:rPr>
          <w:rStyle w:val="FootnoteReference"/>
          <w:rFonts w:ascii="Times New Roman" w:hAnsi="Times New Roman"/>
          <w:sz w:val="24"/>
          <w:szCs w:val="24"/>
          <w:lang w:val="en-US"/>
        </w:rPr>
        <w:footnoteReference w:id="5"/>
      </w:r>
      <w:r>
        <w:rPr>
          <w:rFonts w:ascii="Times New Roman" w:hAnsi="Times New Roman"/>
          <w:sz w:val="24"/>
          <w:szCs w:val="24"/>
          <w:lang w:val="en-US"/>
        </w:rPr>
        <w:t xml:space="preserve"> These questions have arisen not only in the academic discourse but also among the national judges.</w:t>
      </w:r>
      <w:r>
        <w:rPr>
          <w:rFonts w:ascii="Times New Roman" w:eastAsia="Times New Roman" w:hAnsi="Times New Roman" w:cs="Times New Roman"/>
          <w:sz w:val="24"/>
          <w:szCs w:val="24"/>
          <w:vertAlign w:val="superscript"/>
        </w:rPr>
        <w:footnoteReference w:id="6"/>
      </w:r>
      <w:r>
        <w:rPr>
          <w:rFonts w:ascii="Times New Roman" w:hAnsi="Times New Roman"/>
          <w:sz w:val="24"/>
          <w:szCs w:val="24"/>
          <w:lang w:val="en-US"/>
        </w:rPr>
        <w:t xml:space="preserve"> A reminder is fitting that as per well-established and rehearsed jurisprudence of the Court of Justice, the national courts are in charge of enforcement of EU law and, by the same token, entrusted to secure its effectiveness.</w:t>
      </w:r>
      <w:r>
        <w:rPr>
          <w:rFonts w:ascii="Times New Roman" w:eastAsia="Times New Roman" w:hAnsi="Times New Roman" w:cs="Times New Roman"/>
          <w:sz w:val="24"/>
          <w:szCs w:val="24"/>
          <w:vertAlign w:val="superscript"/>
        </w:rPr>
        <w:footnoteReference w:id="7"/>
      </w:r>
      <w:r>
        <w:rPr>
          <w:rFonts w:ascii="Times New Roman" w:hAnsi="Times New Roman"/>
          <w:sz w:val="24"/>
          <w:szCs w:val="24"/>
          <w:lang w:val="en-US"/>
        </w:rPr>
        <w:t xml:space="preserve"> </w:t>
      </w:r>
      <w:r w:rsidR="00C8261E">
        <w:rPr>
          <w:rFonts w:ascii="Times New Roman" w:hAnsi="Times New Roman"/>
          <w:sz w:val="24"/>
          <w:szCs w:val="24"/>
          <w:lang w:val="en-US"/>
        </w:rPr>
        <w:t xml:space="preserve">Furthermore, the European Union is based on the rule of law and, as per recent jurisprudence of the Court of Justice, </w:t>
      </w:r>
      <w:r w:rsidR="000A0D6A">
        <w:rPr>
          <w:rFonts w:ascii="Times New Roman" w:hAnsi="Times New Roman"/>
          <w:sz w:val="24"/>
          <w:szCs w:val="24"/>
          <w:lang w:val="en-US"/>
        </w:rPr>
        <w:t>it can be upheld only if national courts are independent. So, the</w:t>
      </w:r>
      <w:r>
        <w:rPr>
          <w:rFonts w:ascii="Times New Roman" w:hAnsi="Times New Roman"/>
          <w:sz w:val="24"/>
          <w:szCs w:val="24"/>
          <w:lang w:val="en-US"/>
        </w:rPr>
        <w:t xml:space="preserve"> role </w:t>
      </w:r>
      <w:r w:rsidR="000A0D6A">
        <w:rPr>
          <w:rFonts w:ascii="Times New Roman" w:hAnsi="Times New Roman"/>
          <w:sz w:val="24"/>
          <w:szCs w:val="24"/>
          <w:lang w:val="en-US"/>
        </w:rPr>
        <w:t xml:space="preserve">of domestic courts </w:t>
      </w:r>
      <w:r>
        <w:rPr>
          <w:rFonts w:ascii="Times New Roman" w:hAnsi="Times New Roman"/>
          <w:sz w:val="24"/>
          <w:szCs w:val="24"/>
          <w:lang w:val="en-US"/>
        </w:rPr>
        <w:t>in the development of the EU legal order is paramount</w:t>
      </w:r>
      <w:r w:rsidR="00052A36">
        <w:rPr>
          <w:rFonts w:ascii="Times New Roman" w:hAnsi="Times New Roman"/>
          <w:sz w:val="24"/>
          <w:szCs w:val="24"/>
          <w:lang w:val="en-US"/>
        </w:rPr>
        <w:t>; national judges are also EU judges</w:t>
      </w:r>
      <w:r>
        <w:rPr>
          <w:rFonts w:ascii="Times New Roman" w:hAnsi="Times New Roman"/>
          <w:sz w:val="24"/>
          <w:szCs w:val="24"/>
          <w:lang w:val="en-US"/>
        </w:rPr>
        <w:t xml:space="preserve">. This applies to all areas of EU law, starting with the free movement of goods and ending with the judicial co-operation in criminal matters. The latter is, however, a </w:t>
      </w:r>
      <w:r w:rsidR="00052A36">
        <w:rPr>
          <w:rFonts w:ascii="Times New Roman" w:hAnsi="Times New Roman"/>
          <w:sz w:val="24"/>
          <w:szCs w:val="24"/>
          <w:lang w:val="en-US"/>
        </w:rPr>
        <w:t>relatively new</w:t>
      </w:r>
      <w:r>
        <w:rPr>
          <w:rFonts w:ascii="Times New Roman" w:hAnsi="Times New Roman"/>
          <w:sz w:val="24"/>
          <w:szCs w:val="24"/>
          <w:lang w:val="en-US"/>
        </w:rPr>
        <w:t xml:space="preserve"> phenomenon. While the foundations had been laid in the early 1990s </w:t>
      </w:r>
      <w:r>
        <w:rPr>
          <w:rFonts w:ascii="Times New Roman" w:hAnsi="Times New Roman"/>
          <w:i/>
          <w:iCs/>
          <w:sz w:val="24"/>
          <w:szCs w:val="24"/>
          <w:lang w:val="en-US"/>
        </w:rPr>
        <w:t>qua</w:t>
      </w:r>
      <w:r>
        <w:rPr>
          <w:rFonts w:ascii="Times New Roman" w:hAnsi="Times New Roman"/>
          <w:sz w:val="24"/>
          <w:szCs w:val="24"/>
          <w:lang w:val="en-US"/>
        </w:rPr>
        <w:t xml:space="preserve"> Treaty on European Union, the area in question only started to develop more robustly at the turn of centuries and, at the time of writing, it was still in its formational years.</w:t>
      </w:r>
      <w:r>
        <w:rPr>
          <w:rFonts w:ascii="Times New Roman" w:eastAsia="Times New Roman" w:hAnsi="Times New Roman" w:cs="Times New Roman"/>
          <w:sz w:val="24"/>
          <w:szCs w:val="24"/>
          <w:vertAlign w:val="superscript"/>
        </w:rPr>
        <w:footnoteReference w:id="8"/>
      </w:r>
      <w:r>
        <w:rPr>
          <w:rFonts w:ascii="Times New Roman" w:hAnsi="Times New Roman"/>
          <w:sz w:val="24"/>
          <w:szCs w:val="24"/>
          <w:lang w:val="en-US"/>
        </w:rPr>
        <w:t xml:space="preserve"> As the legislative activity has steadily continued, the enforcement of adopted rules, in particular the controversial litmus test for mutual recognition - the European Arrest Warrant - has been heading for troubled waters.</w:t>
      </w:r>
      <w:r w:rsidR="00062FAA">
        <w:rPr>
          <w:rFonts w:ascii="Times New Roman" w:hAnsi="Times New Roman"/>
          <w:sz w:val="24"/>
          <w:szCs w:val="24"/>
          <w:lang w:val="en-US"/>
        </w:rPr>
        <w:t xml:space="preserve"> </w:t>
      </w:r>
      <w:r>
        <w:rPr>
          <w:rFonts w:ascii="Times New Roman" w:hAnsi="Times New Roman"/>
          <w:sz w:val="24"/>
          <w:szCs w:val="24"/>
          <w:lang w:val="en-US"/>
        </w:rPr>
        <w:t>The mutual trust, and consequentially also mutual recognition, has been cracking as respect for human rights in several Member States, for instance in relation to the detention conditions, was questionable.</w:t>
      </w:r>
      <w:r w:rsidR="00824BFE">
        <w:rPr>
          <w:rStyle w:val="FootnoteReference"/>
          <w:rFonts w:ascii="Times New Roman" w:hAnsi="Times New Roman"/>
          <w:sz w:val="24"/>
          <w:szCs w:val="24"/>
          <w:lang w:val="en-US"/>
        </w:rPr>
        <w:footnoteReference w:id="9"/>
      </w:r>
      <w:r>
        <w:rPr>
          <w:rFonts w:ascii="Times New Roman" w:hAnsi="Times New Roman"/>
          <w:sz w:val="24"/>
          <w:szCs w:val="24"/>
          <w:lang w:val="en-US"/>
        </w:rPr>
        <w:t xml:space="preserve"> The foundations of mutual recognition have also started to break as Poland and Hungary have become rather economical in their compliance with Article 2 TEU.</w:t>
      </w:r>
      <w:r>
        <w:rPr>
          <w:rFonts w:ascii="Times New Roman" w:eastAsia="Times New Roman" w:hAnsi="Times New Roman" w:cs="Times New Roman"/>
          <w:sz w:val="24"/>
          <w:szCs w:val="24"/>
          <w:vertAlign w:val="superscript"/>
        </w:rPr>
        <w:footnoteReference w:id="10"/>
      </w:r>
      <w:r>
        <w:rPr>
          <w:rFonts w:ascii="Times New Roman" w:hAnsi="Times New Roman"/>
          <w:sz w:val="24"/>
          <w:szCs w:val="24"/>
          <w:lang w:val="en-US"/>
        </w:rPr>
        <w:t xml:space="preserve"> To put it differently, the questionable human rights records and the brewing rule of law crises in several Member States have forced</w:t>
      </w:r>
      <w:r w:rsidR="00ED7379">
        <w:rPr>
          <w:rFonts w:ascii="Times New Roman" w:hAnsi="Times New Roman"/>
          <w:sz w:val="24"/>
          <w:szCs w:val="24"/>
          <w:lang w:val="en-US"/>
        </w:rPr>
        <w:t xml:space="preserve"> not only the EU institutions to act but also persuaded</w:t>
      </w:r>
      <w:r>
        <w:rPr>
          <w:rFonts w:ascii="Times New Roman" w:hAnsi="Times New Roman"/>
          <w:sz w:val="24"/>
          <w:szCs w:val="24"/>
          <w:lang w:val="en-US"/>
        </w:rPr>
        <w:t xml:space="preserve"> national judges around the European Union to become more vocal with their doubts as to the limits of mutual trust and mutual recognition. The judgment in joined cases C-404/15 and C-659/15 PPU </w:t>
      </w:r>
      <w:proofErr w:type="spellStart"/>
      <w:r>
        <w:rPr>
          <w:rFonts w:ascii="Times New Roman" w:hAnsi="Times New Roman"/>
          <w:i/>
          <w:iCs/>
          <w:sz w:val="24"/>
          <w:szCs w:val="24"/>
        </w:rPr>
        <w:t>Aranyosi</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Căldăraru</w:t>
      </w:r>
      <w:proofErr w:type="spellEnd"/>
      <w:r>
        <w:rPr>
          <w:rFonts w:ascii="Times New Roman" w:eastAsia="Times New Roman" w:hAnsi="Times New Roman" w:cs="Times New Roman"/>
          <w:sz w:val="24"/>
          <w:szCs w:val="24"/>
          <w:vertAlign w:val="superscript"/>
        </w:rPr>
        <w:footnoteReference w:id="11"/>
      </w:r>
      <w:r>
        <w:rPr>
          <w:rFonts w:ascii="Times New Roman" w:hAnsi="Times New Roman"/>
          <w:sz w:val="24"/>
          <w:szCs w:val="24"/>
          <w:lang w:val="en-US"/>
        </w:rPr>
        <w:t xml:space="preserve"> is a very good example when such doubts are shared with the Court of Justice, which - as well-known - provides assistance to national courts when interpretation of EU law is unclear, or validity of secondary legislation is under scrutiny.</w:t>
      </w:r>
      <w:r>
        <w:rPr>
          <w:rFonts w:ascii="Times New Roman" w:eastAsia="Times New Roman" w:hAnsi="Times New Roman" w:cs="Times New Roman"/>
          <w:sz w:val="24"/>
          <w:szCs w:val="24"/>
          <w:vertAlign w:val="superscript"/>
        </w:rPr>
        <w:footnoteReference w:id="12"/>
      </w:r>
      <w:r>
        <w:rPr>
          <w:rFonts w:ascii="Times New Roman" w:hAnsi="Times New Roman"/>
          <w:sz w:val="24"/>
          <w:szCs w:val="24"/>
          <w:lang w:val="en-US"/>
        </w:rPr>
        <w:t xml:space="preserve"> This time the judges at </w:t>
      </w:r>
      <w:proofErr w:type="spellStart"/>
      <w:r>
        <w:rPr>
          <w:rFonts w:ascii="Times New Roman" w:hAnsi="Times New Roman"/>
          <w:sz w:val="24"/>
          <w:szCs w:val="24"/>
          <w:lang w:val="en-US"/>
        </w:rPr>
        <w:t>Kirchberg</w:t>
      </w:r>
      <w:proofErr w:type="spellEnd"/>
      <w:r>
        <w:rPr>
          <w:rFonts w:ascii="Times New Roman" w:hAnsi="Times New Roman"/>
          <w:sz w:val="24"/>
          <w:szCs w:val="24"/>
          <w:lang w:val="en-US"/>
        </w:rPr>
        <w:t xml:space="preserve"> were dragged into the dilemmas of their domestic counterparts as where to draw the lines between</w:t>
      </w:r>
      <w:r w:rsidR="00376BC2">
        <w:rPr>
          <w:rFonts w:ascii="Times New Roman" w:hAnsi="Times New Roman"/>
          <w:sz w:val="24"/>
          <w:szCs w:val="24"/>
          <w:lang w:val="en-US"/>
        </w:rPr>
        <w:t xml:space="preserve"> the three constituent elements of the mantra:</w:t>
      </w:r>
      <w:r>
        <w:rPr>
          <w:rFonts w:ascii="Times New Roman" w:hAnsi="Times New Roman"/>
          <w:sz w:val="24"/>
          <w:szCs w:val="24"/>
          <w:lang w:val="en-US"/>
        </w:rPr>
        <w:t xml:space="preserve"> freedom, security and justice and how to answer the paraphrased Shakespearean question: to surrender or not to surrender. Although the judgment </w:t>
      </w:r>
      <w:r w:rsidR="00D27DB3">
        <w:rPr>
          <w:rFonts w:ascii="Times New Roman" w:hAnsi="Times New Roman"/>
          <w:sz w:val="24"/>
          <w:szCs w:val="24"/>
          <w:lang w:val="en-US"/>
        </w:rPr>
        <w:t xml:space="preserve">in question </w:t>
      </w:r>
      <w:r>
        <w:rPr>
          <w:rFonts w:ascii="Times New Roman" w:hAnsi="Times New Roman"/>
          <w:sz w:val="24"/>
          <w:szCs w:val="24"/>
          <w:lang w:val="en-US"/>
        </w:rPr>
        <w:t>is</w:t>
      </w:r>
      <w:r w:rsidR="00D205EB">
        <w:rPr>
          <w:rFonts w:ascii="Times New Roman" w:hAnsi="Times New Roman"/>
          <w:sz w:val="24"/>
          <w:szCs w:val="24"/>
          <w:lang w:val="en-US"/>
        </w:rPr>
        <w:t xml:space="preserve"> -</w:t>
      </w:r>
      <w:r>
        <w:rPr>
          <w:rFonts w:ascii="Times New Roman" w:hAnsi="Times New Roman"/>
          <w:sz w:val="24"/>
          <w:szCs w:val="24"/>
          <w:lang w:val="en-US"/>
        </w:rPr>
        <w:t xml:space="preserve"> without a shadow of doubt </w:t>
      </w:r>
      <w:r w:rsidR="00D205EB">
        <w:rPr>
          <w:rFonts w:ascii="Times New Roman" w:hAnsi="Times New Roman"/>
          <w:sz w:val="24"/>
          <w:szCs w:val="24"/>
          <w:lang w:val="en-US"/>
        </w:rPr>
        <w:t xml:space="preserve">- </w:t>
      </w:r>
      <w:r>
        <w:rPr>
          <w:rFonts w:ascii="Times New Roman" w:hAnsi="Times New Roman"/>
          <w:sz w:val="24"/>
          <w:szCs w:val="24"/>
          <w:lang w:val="en-US"/>
        </w:rPr>
        <w:t xml:space="preserve">a groundbreaking development, it has been also - as rightly put by W. Van </w:t>
      </w:r>
      <w:proofErr w:type="spellStart"/>
      <w:r>
        <w:rPr>
          <w:rFonts w:ascii="Times New Roman" w:hAnsi="Times New Roman"/>
          <w:sz w:val="24"/>
          <w:szCs w:val="24"/>
          <w:lang w:val="en-US"/>
        </w:rPr>
        <w:t>Ballegooij</w:t>
      </w:r>
      <w:proofErr w:type="spellEnd"/>
      <w:r>
        <w:rPr>
          <w:rFonts w:ascii="Times New Roman" w:hAnsi="Times New Roman"/>
          <w:sz w:val="24"/>
          <w:szCs w:val="24"/>
          <w:lang w:val="en-US"/>
        </w:rPr>
        <w:t xml:space="preserve"> and P. </w:t>
      </w:r>
      <w:proofErr w:type="spellStart"/>
      <w:r>
        <w:rPr>
          <w:rFonts w:ascii="Times New Roman" w:hAnsi="Times New Roman"/>
          <w:sz w:val="24"/>
          <w:szCs w:val="24"/>
        </w:rPr>
        <w:t>Bárd</w:t>
      </w:r>
      <w:proofErr w:type="spellEnd"/>
      <w:r>
        <w:rPr>
          <w:rFonts w:ascii="Times New Roman" w:hAnsi="Times New Roman"/>
          <w:sz w:val="24"/>
          <w:szCs w:val="24"/>
        </w:rPr>
        <w:t> </w:t>
      </w:r>
      <w:r>
        <w:rPr>
          <w:rFonts w:ascii="Times New Roman" w:hAnsi="Times New Roman"/>
          <w:sz w:val="24"/>
          <w:szCs w:val="24"/>
          <w:lang w:val="en-US"/>
        </w:rPr>
        <w:t>- “only the start of a discussion between the CJEU and national courts on the scope and application of the fundamental rights exception”.</w:t>
      </w:r>
      <w:r>
        <w:rPr>
          <w:rFonts w:ascii="Times New Roman" w:eastAsia="Times New Roman" w:hAnsi="Times New Roman" w:cs="Times New Roman"/>
          <w:sz w:val="24"/>
          <w:szCs w:val="24"/>
          <w:vertAlign w:val="superscript"/>
        </w:rPr>
        <w:footnoteReference w:id="13"/>
      </w:r>
      <w:r>
        <w:rPr>
          <w:rFonts w:ascii="Times New Roman" w:hAnsi="Times New Roman"/>
          <w:sz w:val="24"/>
          <w:szCs w:val="24"/>
          <w:lang w:val="en-US"/>
        </w:rPr>
        <w:t xml:space="preserve"> This has proven to be true in most recent jurisprudence on the power of national courts not to entertain European Arrest Warrants on human rights/rule of law related grounds.</w:t>
      </w:r>
      <w:r>
        <w:rPr>
          <w:rFonts w:ascii="Times New Roman" w:eastAsia="Times New Roman" w:hAnsi="Times New Roman" w:cs="Times New Roman"/>
          <w:sz w:val="24"/>
          <w:szCs w:val="24"/>
          <w:vertAlign w:val="superscript"/>
        </w:rPr>
        <w:footnoteReference w:id="14"/>
      </w:r>
      <w:r>
        <w:rPr>
          <w:rFonts w:ascii="Times New Roman" w:hAnsi="Times New Roman"/>
          <w:sz w:val="24"/>
          <w:szCs w:val="24"/>
          <w:lang w:val="en-US"/>
        </w:rPr>
        <w:t xml:space="preserve"> In the present </w:t>
      </w:r>
      <w:r w:rsidR="00D27DB3">
        <w:rPr>
          <w:rFonts w:ascii="Times New Roman" w:hAnsi="Times New Roman"/>
          <w:sz w:val="24"/>
          <w:szCs w:val="24"/>
          <w:lang w:val="en-US"/>
        </w:rPr>
        <w:t>article</w:t>
      </w:r>
      <w:r>
        <w:rPr>
          <w:rFonts w:ascii="Times New Roman" w:hAnsi="Times New Roman"/>
          <w:sz w:val="24"/>
          <w:szCs w:val="24"/>
          <w:lang w:val="en-US"/>
        </w:rPr>
        <w:t xml:space="preserve"> these judgments are put under the academic microscope together with the case </w:t>
      </w:r>
      <w:proofErr w:type="spellStart"/>
      <w:r>
        <w:rPr>
          <w:rFonts w:ascii="Times New Roman" w:hAnsi="Times New Roman"/>
          <w:i/>
          <w:iCs/>
          <w:sz w:val="24"/>
          <w:szCs w:val="24"/>
          <w:lang w:val="en-US"/>
        </w:rPr>
        <w:t>Aranyosi</w:t>
      </w:r>
      <w:proofErr w:type="spellEnd"/>
      <w:r w:rsidR="00D205EB">
        <w:rPr>
          <w:rFonts w:ascii="Times New Roman" w:hAnsi="Times New Roman"/>
          <w:i/>
          <w:iCs/>
          <w:sz w:val="24"/>
          <w:szCs w:val="24"/>
          <w:lang w:val="en-US"/>
        </w:rPr>
        <w:t xml:space="preserve"> and </w:t>
      </w:r>
      <w:proofErr w:type="spellStart"/>
      <w:r w:rsidR="00D205EB" w:rsidRPr="00D205EB">
        <w:rPr>
          <w:rFonts w:ascii="Times New Roman" w:hAnsi="Times New Roman"/>
          <w:i/>
          <w:iCs/>
          <w:sz w:val="24"/>
          <w:szCs w:val="24"/>
          <w:lang w:val="en-US"/>
        </w:rPr>
        <w:t>Căldăraru</w:t>
      </w:r>
      <w:proofErr w:type="spellEnd"/>
      <w:r>
        <w:rPr>
          <w:rFonts w:ascii="Times New Roman" w:hAnsi="Times New Roman"/>
          <w:sz w:val="24"/>
          <w:szCs w:val="24"/>
          <w:lang w:val="en-US"/>
        </w:rPr>
        <w:t xml:space="preserve">. </w:t>
      </w:r>
      <w:r w:rsidR="00D27DB3">
        <w:rPr>
          <w:rFonts w:ascii="Times New Roman" w:hAnsi="Times New Roman"/>
          <w:sz w:val="24"/>
          <w:szCs w:val="24"/>
          <w:lang w:val="en-US"/>
        </w:rPr>
        <w:t>T</w:t>
      </w:r>
      <w:r>
        <w:rPr>
          <w:rFonts w:ascii="Times New Roman" w:hAnsi="Times New Roman"/>
          <w:sz w:val="24"/>
          <w:szCs w:val="24"/>
          <w:lang w:val="en-US"/>
        </w:rPr>
        <w:t>he analysis that follows is conducted through the lenses of domestic judges. It starts by drawing a broader picture of challenges that the domestic judiciary faces when it comes to EU criminal law, in particular the mutual recognition instruments. It argues that judges are faced not only with the legal framework of sometimes questionable quality but also with potential conflicts of loyalty resulting from multiplicity and</w:t>
      </w:r>
      <w:r w:rsidR="004A21AC">
        <w:rPr>
          <w:rFonts w:ascii="Times New Roman" w:hAnsi="Times New Roman"/>
          <w:sz w:val="24"/>
          <w:szCs w:val="24"/>
          <w:lang w:val="en-US"/>
        </w:rPr>
        <w:t xml:space="preserve"> occasional</w:t>
      </w:r>
      <w:r>
        <w:rPr>
          <w:rFonts w:ascii="Times New Roman" w:hAnsi="Times New Roman"/>
          <w:sz w:val="24"/>
          <w:szCs w:val="24"/>
          <w:lang w:val="en-US"/>
        </w:rPr>
        <w:t xml:space="preserve"> inconsistency of applicable legal regimes (section 2). In turn the analysis moves to the exegesis of </w:t>
      </w:r>
      <w:proofErr w:type="spellStart"/>
      <w:r>
        <w:rPr>
          <w:rFonts w:ascii="Times New Roman" w:hAnsi="Times New Roman"/>
          <w:i/>
          <w:iCs/>
          <w:sz w:val="24"/>
          <w:szCs w:val="24"/>
          <w:lang w:val="en-US"/>
        </w:rPr>
        <w:t>Aranyosi</w:t>
      </w:r>
      <w:proofErr w:type="spellEnd"/>
      <w:r w:rsidR="00316D4D">
        <w:rPr>
          <w:rFonts w:ascii="Times New Roman" w:hAnsi="Times New Roman"/>
          <w:i/>
          <w:iCs/>
          <w:sz w:val="24"/>
          <w:szCs w:val="24"/>
          <w:lang w:val="en-US"/>
        </w:rPr>
        <w:t xml:space="preserve"> and</w:t>
      </w:r>
      <w:r>
        <w:rPr>
          <w:rFonts w:ascii="Times New Roman" w:hAnsi="Times New Roman"/>
          <w:i/>
          <w:iCs/>
          <w:sz w:val="24"/>
          <w:szCs w:val="24"/>
          <w:lang w:val="en-US"/>
        </w:rPr>
        <w:t xml:space="preserve"> </w:t>
      </w:r>
      <w:proofErr w:type="spellStart"/>
      <w:r w:rsidR="00316D4D" w:rsidRPr="00316D4D">
        <w:rPr>
          <w:rFonts w:ascii="Times New Roman" w:hAnsi="Times New Roman"/>
          <w:i/>
          <w:iCs/>
          <w:sz w:val="24"/>
          <w:szCs w:val="24"/>
          <w:lang w:val="en-US"/>
        </w:rPr>
        <w:t>Căldăraru</w:t>
      </w:r>
      <w:proofErr w:type="spellEnd"/>
      <w:r w:rsidR="00316D4D" w:rsidRPr="00316D4D">
        <w:rPr>
          <w:rFonts w:ascii="Times New Roman" w:hAnsi="Times New Roman"/>
          <w:i/>
          <w:iCs/>
          <w:sz w:val="24"/>
          <w:szCs w:val="24"/>
          <w:lang w:val="en-US"/>
        </w:rPr>
        <w:t xml:space="preserve"> </w:t>
      </w:r>
      <w:r>
        <w:rPr>
          <w:rFonts w:ascii="Times New Roman" w:hAnsi="Times New Roman"/>
          <w:sz w:val="24"/>
          <w:szCs w:val="24"/>
          <w:lang w:val="en-US"/>
        </w:rPr>
        <w:t xml:space="preserve">line of jurisprudence, in particular to the already mentioned security vs justice conundrum, which domestic judges sometimes face (section 3). This </w:t>
      </w:r>
      <w:r w:rsidR="00D27DB3">
        <w:rPr>
          <w:rFonts w:ascii="Times New Roman" w:hAnsi="Times New Roman"/>
          <w:sz w:val="24"/>
          <w:szCs w:val="24"/>
          <w:lang w:val="en-US"/>
        </w:rPr>
        <w:t>article</w:t>
      </w:r>
      <w:r>
        <w:rPr>
          <w:rFonts w:ascii="Times New Roman" w:hAnsi="Times New Roman"/>
          <w:sz w:val="24"/>
          <w:szCs w:val="24"/>
          <w:lang w:val="en-US"/>
        </w:rPr>
        <w:t xml:space="preserve"> ends with conclusions looking into the current state of affairs and suggestions as to the way forward. </w:t>
      </w:r>
    </w:p>
    <w:p w14:paraId="376A5126" w14:textId="77777777" w:rsidR="004E2F3A" w:rsidRDefault="004E2F3A">
      <w:pPr>
        <w:pStyle w:val="Default"/>
        <w:rPr>
          <w:rFonts w:ascii="Times New Roman" w:eastAsia="Times New Roman" w:hAnsi="Times New Roman" w:cs="Times New Roman"/>
          <w:b/>
          <w:bCs/>
          <w:sz w:val="24"/>
          <w:szCs w:val="24"/>
        </w:rPr>
      </w:pPr>
    </w:p>
    <w:p w14:paraId="04B7F2CE" w14:textId="77777777" w:rsidR="004E2F3A" w:rsidRDefault="00810306">
      <w:pPr>
        <w:pStyle w:val="Default"/>
        <w:rPr>
          <w:rFonts w:ascii="Times New Roman" w:eastAsia="Times New Roman" w:hAnsi="Times New Roman" w:cs="Times New Roman"/>
          <w:b/>
          <w:bCs/>
          <w:sz w:val="24"/>
          <w:szCs w:val="24"/>
        </w:rPr>
      </w:pPr>
      <w:r>
        <w:rPr>
          <w:rFonts w:ascii="Times New Roman" w:hAnsi="Times New Roman"/>
          <w:b/>
          <w:bCs/>
          <w:sz w:val="24"/>
          <w:szCs w:val="24"/>
        </w:rPr>
        <w:t xml:space="preserve">2. </w:t>
      </w:r>
      <w:r>
        <w:rPr>
          <w:rFonts w:ascii="Times New Roman" w:hAnsi="Times New Roman"/>
          <w:b/>
          <w:bCs/>
          <w:sz w:val="24"/>
          <w:szCs w:val="24"/>
          <w:lang w:val="en-US"/>
        </w:rPr>
        <w:t xml:space="preserve">Competing loyalties in a multifaceted legal environment </w:t>
      </w:r>
    </w:p>
    <w:p w14:paraId="1FEA6DB4" w14:textId="77777777" w:rsidR="004E2F3A" w:rsidRDefault="00810306">
      <w:pPr>
        <w:pStyle w:val="Default"/>
        <w:rPr>
          <w:rFonts w:ascii="Times New Roman" w:eastAsia="Times New Roman" w:hAnsi="Times New Roman" w:cs="Times New Roman"/>
          <w:b/>
          <w:bCs/>
          <w:sz w:val="24"/>
          <w:szCs w:val="24"/>
        </w:rPr>
      </w:pPr>
      <w:r>
        <w:rPr>
          <w:rFonts w:ascii="Times New Roman" w:hAnsi="Times New Roman"/>
          <w:b/>
          <w:bCs/>
          <w:sz w:val="24"/>
          <w:szCs w:val="24"/>
          <w:lang w:val="en-US"/>
        </w:rPr>
        <w:t>2.1. Introduction</w:t>
      </w:r>
    </w:p>
    <w:p w14:paraId="7F7F53F3" w14:textId="77777777" w:rsidR="004E2F3A" w:rsidRDefault="004E2F3A">
      <w:pPr>
        <w:pStyle w:val="Default"/>
        <w:rPr>
          <w:rFonts w:ascii="Times New Roman" w:eastAsia="Times New Roman" w:hAnsi="Times New Roman" w:cs="Times New Roman"/>
          <w:sz w:val="24"/>
          <w:szCs w:val="24"/>
        </w:rPr>
      </w:pPr>
    </w:p>
    <w:p w14:paraId="52C48F02" w14:textId="3DA21F5D" w:rsidR="004E2F3A" w:rsidRDefault="00E83615">
      <w:pPr>
        <w:pStyle w:val="Default"/>
        <w:jc w:val="both"/>
        <w:rPr>
          <w:rFonts w:ascii="Times New Roman" w:eastAsia="Times New Roman" w:hAnsi="Times New Roman" w:cs="Times New Roman"/>
          <w:sz w:val="24"/>
          <w:szCs w:val="24"/>
        </w:rPr>
      </w:pPr>
      <w:r>
        <w:rPr>
          <w:rFonts w:ascii="Times New Roman" w:hAnsi="Times New Roman"/>
          <w:sz w:val="24"/>
          <w:szCs w:val="24"/>
          <w:lang w:val="en-US"/>
        </w:rPr>
        <w:t>When we</w:t>
      </w:r>
      <w:r w:rsidR="00810306">
        <w:rPr>
          <w:rFonts w:ascii="Times New Roman" w:hAnsi="Times New Roman"/>
          <w:sz w:val="24"/>
          <w:szCs w:val="24"/>
          <w:lang w:val="en-US"/>
        </w:rPr>
        <w:t xml:space="preserve"> look at the </w:t>
      </w:r>
      <w:proofErr w:type="spellStart"/>
      <w:r w:rsidR="00810306">
        <w:rPr>
          <w:rFonts w:ascii="Times New Roman" w:hAnsi="Times New Roman"/>
          <w:i/>
          <w:iCs/>
          <w:sz w:val="24"/>
          <w:szCs w:val="24"/>
          <w:lang w:val="en-US"/>
        </w:rPr>
        <w:t>Aranyosi</w:t>
      </w:r>
      <w:proofErr w:type="spellEnd"/>
      <w:r w:rsidR="00810306">
        <w:rPr>
          <w:rFonts w:ascii="Times New Roman" w:hAnsi="Times New Roman"/>
          <w:sz w:val="24"/>
          <w:szCs w:val="24"/>
          <w:lang w:val="en-US"/>
        </w:rPr>
        <w:t xml:space="preserve"> </w:t>
      </w:r>
      <w:r w:rsidR="00316D4D">
        <w:rPr>
          <w:rFonts w:ascii="Times New Roman" w:hAnsi="Times New Roman"/>
          <w:sz w:val="24"/>
          <w:szCs w:val="24"/>
          <w:lang w:val="en-US"/>
        </w:rPr>
        <w:t xml:space="preserve">and </w:t>
      </w:r>
      <w:proofErr w:type="spellStart"/>
      <w:r w:rsidR="00316D4D" w:rsidRPr="00316D4D">
        <w:rPr>
          <w:rFonts w:ascii="Times New Roman" w:hAnsi="Times New Roman"/>
          <w:i/>
          <w:sz w:val="24"/>
          <w:szCs w:val="24"/>
          <w:lang w:val="en-US"/>
        </w:rPr>
        <w:t>Căldăraru</w:t>
      </w:r>
      <w:proofErr w:type="spellEnd"/>
      <w:r w:rsidR="00316D4D" w:rsidRPr="00316D4D">
        <w:rPr>
          <w:rFonts w:ascii="Times New Roman" w:hAnsi="Times New Roman"/>
          <w:sz w:val="24"/>
          <w:szCs w:val="24"/>
          <w:lang w:val="en-US"/>
        </w:rPr>
        <w:t xml:space="preserve"> </w:t>
      </w:r>
      <w:r w:rsidR="00810306">
        <w:rPr>
          <w:rFonts w:ascii="Times New Roman" w:hAnsi="Times New Roman"/>
          <w:sz w:val="24"/>
          <w:szCs w:val="24"/>
          <w:lang w:val="en-US"/>
        </w:rPr>
        <w:t xml:space="preserve">line of jurisprudence through the lenses of national judges the emerging picture is not even close to a nicely balanced Rembrandt but has more of the dottiness known from the works of Pollock. It is notable, however, that </w:t>
      </w:r>
      <w:r w:rsidR="00150063">
        <w:rPr>
          <w:rFonts w:ascii="Times New Roman" w:hAnsi="Times New Roman"/>
          <w:sz w:val="24"/>
          <w:szCs w:val="24"/>
          <w:lang w:val="en-US"/>
        </w:rPr>
        <w:t>it</w:t>
      </w:r>
      <w:r w:rsidR="00810306">
        <w:rPr>
          <w:rFonts w:ascii="Times New Roman" w:hAnsi="Times New Roman"/>
          <w:sz w:val="24"/>
          <w:szCs w:val="24"/>
          <w:lang w:val="en-US"/>
        </w:rPr>
        <w:t xml:space="preserve"> may somewhat vary, depending on whether one uses the lenses of a judge sitting at a constitutional court or whether at an ordinary criminal court. For the first the challenges emerging from development of EU criminal law, in particular the mutual recognition, are comparable to </w:t>
      </w:r>
      <w:r w:rsidR="00B06141">
        <w:rPr>
          <w:rFonts w:ascii="Times New Roman" w:hAnsi="Times New Roman"/>
          <w:sz w:val="24"/>
          <w:szCs w:val="24"/>
          <w:lang w:val="en-US"/>
        </w:rPr>
        <w:t xml:space="preserve">the ones faced in </w:t>
      </w:r>
      <w:r w:rsidR="00810306">
        <w:rPr>
          <w:rFonts w:ascii="Times New Roman" w:hAnsi="Times New Roman"/>
          <w:sz w:val="24"/>
          <w:szCs w:val="24"/>
          <w:lang w:val="en-US"/>
        </w:rPr>
        <w:t xml:space="preserve">other areas of EU law. For decades </w:t>
      </w:r>
      <w:r w:rsidR="00B06141">
        <w:rPr>
          <w:rFonts w:ascii="Times New Roman" w:hAnsi="Times New Roman"/>
          <w:sz w:val="24"/>
          <w:szCs w:val="24"/>
          <w:lang w:val="en-US"/>
        </w:rPr>
        <w:t>now,</w:t>
      </w:r>
      <w:r w:rsidR="00810306">
        <w:rPr>
          <w:rFonts w:ascii="Times New Roman" w:hAnsi="Times New Roman"/>
          <w:sz w:val="24"/>
          <w:szCs w:val="24"/>
          <w:lang w:val="en-US"/>
        </w:rPr>
        <w:t xml:space="preserve"> the constitutional courts in many of the Member States have been engaged in - depending on the perspective - judicial battles or judicial dialogue with the Court of Justice of the European Union regarding the doctrine of supremacy. For reasons which merit no explanation, EU Criminal Law has become part of this equation shorty after adoption of the Framework Decision on the European Arrest Warrant.</w:t>
      </w:r>
      <w:r w:rsidR="00810306">
        <w:rPr>
          <w:rFonts w:ascii="Times New Roman" w:eastAsia="Times New Roman" w:hAnsi="Times New Roman" w:cs="Times New Roman"/>
          <w:sz w:val="24"/>
          <w:szCs w:val="24"/>
          <w:vertAlign w:val="superscript"/>
        </w:rPr>
        <w:footnoteReference w:id="15"/>
      </w:r>
      <w:r w:rsidR="00810306">
        <w:rPr>
          <w:rFonts w:ascii="Times New Roman" w:hAnsi="Times New Roman"/>
          <w:sz w:val="24"/>
          <w:szCs w:val="24"/>
          <w:lang w:val="en-US"/>
        </w:rPr>
        <w:t xml:space="preserve"> Prior to that </w:t>
      </w:r>
      <w:r w:rsidR="00150063">
        <w:rPr>
          <w:rFonts w:ascii="Times New Roman" w:hAnsi="Times New Roman"/>
          <w:sz w:val="24"/>
          <w:szCs w:val="24"/>
          <w:lang w:val="en-US"/>
        </w:rPr>
        <w:t xml:space="preserve">EC/EU law </w:t>
      </w:r>
      <w:r w:rsidR="00810306">
        <w:rPr>
          <w:rFonts w:ascii="Times New Roman" w:hAnsi="Times New Roman"/>
          <w:sz w:val="24"/>
          <w:szCs w:val="24"/>
          <w:lang w:val="en-US"/>
        </w:rPr>
        <w:t xml:space="preserve">had been largely </w:t>
      </w:r>
      <w:r w:rsidR="00810306">
        <w:rPr>
          <w:rFonts w:ascii="Times New Roman" w:hAnsi="Times New Roman"/>
          <w:i/>
          <w:iCs/>
          <w:sz w:val="24"/>
          <w:szCs w:val="24"/>
          <w:lang w:val="en-US"/>
        </w:rPr>
        <w:t>terra incognita</w:t>
      </w:r>
      <w:r w:rsidR="00150063" w:rsidRPr="00150063">
        <w:rPr>
          <w:rFonts w:ascii="Times New Roman" w:hAnsi="Times New Roman"/>
          <w:sz w:val="24"/>
          <w:szCs w:val="24"/>
          <w:lang w:val="en-US"/>
        </w:rPr>
        <w:t xml:space="preserve"> </w:t>
      </w:r>
      <w:r w:rsidR="00150063">
        <w:rPr>
          <w:rFonts w:ascii="Times New Roman" w:hAnsi="Times New Roman"/>
          <w:sz w:val="24"/>
          <w:szCs w:val="24"/>
          <w:lang w:val="en-US"/>
        </w:rPr>
        <w:t>for national criminal courts</w:t>
      </w:r>
      <w:r w:rsidR="00810306">
        <w:rPr>
          <w:rFonts w:ascii="Times New Roman" w:hAnsi="Times New Roman"/>
          <w:sz w:val="24"/>
          <w:szCs w:val="24"/>
          <w:lang w:val="en-US"/>
        </w:rPr>
        <w:t>. The initial years following entry into force of the Treaty on European Union have been marred by uncertainties. Firstly, until the Treaty of Lisbon, the suite of legal instruments employed by the European Union in criminal matters was very much different</w:t>
      </w:r>
      <w:r w:rsidR="003902BA">
        <w:rPr>
          <w:rFonts w:ascii="Times New Roman" w:hAnsi="Times New Roman"/>
          <w:sz w:val="24"/>
          <w:szCs w:val="24"/>
          <w:lang w:val="en-US"/>
        </w:rPr>
        <w:t xml:space="preserve"> from</w:t>
      </w:r>
      <w:r w:rsidR="00810306">
        <w:rPr>
          <w:rFonts w:ascii="Times New Roman" w:hAnsi="Times New Roman"/>
          <w:sz w:val="24"/>
          <w:szCs w:val="24"/>
          <w:lang w:val="en-US"/>
        </w:rPr>
        <w:t xml:space="preserve"> the traditional set of regulations and directives used in the former first pillar of the EU.</w:t>
      </w:r>
      <w:r w:rsidR="00810306">
        <w:rPr>
          <w:rFonts w:ascii="Times New Roman" w:eastAsia="Times New Roman" w:hAnsi="Times New Roman" w:cs="Times New Roman"/>
          <w:sz w:val="24"/>
          <w:szCs w:val="24"/>
          <w:vertAlign w:val="superscript"/>
        </w:rPr>
        <w:footnoteReference w:id="16"/>
      </w:r>
      <w:r w:rsidR="00810306">
        <w:rPr>
          <w:rFonts w:ascii="Times New Roman" w:hAnsi="Times New Roman"/>
          <w:sz w:val="24"/>
          <w:szCs w:val="24"/>
          <w:lang w:val="en-US"/>
        </w:rPr>
        <w:t xml:space="preserve"> Secondly, the rules on their enforcement at the national level were undefined. Thirdly, the jurisdiction of the Court of Justice was limited. Even after the reform introduced by the Treaty of Amsterdam the Court had no jurisdiction to determine compatibility of national laws with EU Criminal Law. Furthermore, it provided assistance to national courts </w:t>
      </w:r>
      <w:r w:rsidR="00810306">
        <w:rPr>
          <w:rFonts w:ascii="Times New Roman" w:hAnsi="Times New Roman"/>
          <w:i/>
          <w:iCs/>
          <w:sz w:val="24"/>
          <w:szCs w:val="24"/>
          <w:lang w:val="en-US"/>
        </w:rPr>
        <w:t>qua</w:t>
      </w:r>
      <w:r w:rsidR="00810306">
        <w:rPr>
          <w:rFonts w:ascii="Times New Roman" w:hAnsi="Times New Roman"/>
          <w:sz w:val="24"/>
          <w:szCs w:val="24"/>
          <w:lang w:val="en-US"/>
        </w:rPr>
        <w:t xml:space="preserve"> preliminary procedure only in cases of those Member States, which </w:t>
      </w:r>
      <w:proofErr w:type="spellStart"/>
      <w:r w:rsidR="00810306">
        <w:rPr>
          <w:rFonts w:ascii="Times New Roman" w:hAnsi="Times New Roman"/>
          <w:sz w:val="24"/>
          <w:szCs w:val="24"/>
          <w:lang w:val="en-US"/>
        </w:rPr>
        <w:t>recognised</w:t>
      </w:r>
      <w:proofErr w:type="spellEnd"/>
      <w:r w:rsidR="00810306">
        <w:rPr>
          <w:rFonts w:ascii="Times New Roman" w:hAnsi="Times New Roman"/>
          <w:sz w:val="24"/>
          <w:szCs w:val="24"/>
          <w:lang w:val="en-US"/>
        </w:rPr>
        <w:t xml:space="preserve"> its jurisdiction.</w:t>
      </w:r>
      <w:r w:rsidR="002B05B8">
        <w:rPr>
          <w:rStyle w:val="FootnoteReference"/>
          <w:rFonts w:ascii="Times New Roman" w:hAnsi="Times New Roman"/>
          <w:sz w:val="24"/>
          <w:szCs w:val="24"/>
          <w:lang w:val="en-US"/>
        </w:rPr>
        <w:footnoteReference w:id="17"/>
      </w:r>
      <w:r w:rsidR="00810306">
        <w:rPr>
          <w:rFonts w:ascii="Times New Roman" w:hAnsi="Times New Roman"/>
          <w:sz w:val="24"/>
          <w:szCs w:val="24"/>
          <w:lang w:val="en-US"/>
        </w:rPr>
        <w:t xml:space="preserve"> The end result was that the judges in domestic criminal courts were, whenever in doubt, left partly to their own devices. Still, as argued by the present author elsewhere, the Court of Justice has managed to put its firm mark on the </w:t>
      </w:r>
      <w:r w:rsidR="00AC6A3E">
        <w:rPr>
          <w:rFonts w:ascii="Times New Roman" w:hAnsi="Times New Roman"/>
          <w:sz w:val="24"/>
          <w:szCs w:val="24"/>
          <w:lang w:val="en-US"/>
        </w:rPr>
        <w:t>evolving</w:t>
      </w:r>
      <w:r w:rsidR="00810306">
        <w:rPr>
          <w:rFonts w:ascii="Times New Roman" w:hAnsi="Times New Roman"/>
          <w:sz w:val="24"/>
          <w:szCs w:val="24"/>
          <w:lang w:val="en-US"/>
        </w:rPr>
        <w:t xml:space="preserve"> EU Criminal Law.</w:t>
      </w:r>
      <w:r w:rsidR="00810306">
        <w:rPr>
          <w:rFonts w:ascii="Times New Roman" w:eastAsia="Times New Roman" w:hAnsi="Times New Roman" w:cs="Times New Roman"/>
          <w:sz w:val="24"/>
          <w:szCs w:val="24"/>
          <w:vertAlign w:val="superscript"/>
        </w:rPr>
        <w:footnoteReference w:id="18"/>
      </w:r>
      <w:r w:rsidR="00810306">
        <w:rPr>
          <w:rFonts w:ascii="Times New Roman" w:hAnsi="Times New Roman"/>
          <w:sz w:val="24"/>
          <w:szCs w:val="24"/>
          <w:lang w:val="en-US"/>
        </w:rPr>
        <w:t xml:space="preserve"> This includes the principle of mutual recognition, in particular its flagship instrument - the European Arrest Warrant. Not only its human rights credentials were challenged several times</w:t>
      </w:r>
      <w:r w:rsidR="00E21F4D">
        <w:rPr>
          <w:rStyle w:val="FootnoteReference"/>
          <w:rFonts w:ascii="Times New Roman" w:hAnsi="Times New Roman"/>
          <w:sz w:val="24"/>
          <w:szCs w:val="24"/>
          <w:lang w:val="en-US"/>
        </w:rPr>
        <w:footnoteReference w:id="19"/>
      </w:r>
      <w:r w:rsidR="00810306">
        <w:rPr>
          <w:rFonts w:ascii="Times New Roman" w:hAnsi="Times New Roman"/>
          <w:sz w:val="24"/>
          <w:szCs w:val="24"/>
          <w:lang w:val="en-US"/>
        </w:rPr>
        <w:t xml:space="preserve"> but also many aspects of the EAW </w:t>
      </w:r>
      <w:r w:rsidR="00810306">
        <w:rPr>
          <w:rFonts w:ascii="Times New Roman" w:hAnsi="Times New Roman"/>
          <w:i/>
          <w:iCs/>
          <w:sz w:val="24"/>
          <w:szCs w:val="24"/>
          <w:lang w:val="en-US"/>
        </w:rPr>
        <w:t>modus operandi</w:t>
      </w:r>
      <w:r w:rsidR="00810306">
        <w:rPr>
          <w:rFonts w:ascii="Times New Roman" w:hAnsi="Times New Roman"/>
          <w:sz w:val="24"/>
          <w:szCs w:val="24"/>
          <w:lang w:val="en-US"/>
        </w:rPr>
        <w:t xml:space="preserve"> have reached the </w:t>
      </w:r>
      <w:proofErr w:type="spellStart"/>
      <w:r w:rsidR="00810306">
        <w:rPr>
          <w:rFonts w:ascii="Times New Roman" w:hAnsi="Times New Roman"/>
          <w:sz w:val="24"/>
          <w:szCs w:val="24"/>
          <w:lang w:val="en-US"/>
        </w:rPr>
        <w:t>Kirchberg</w:t>
      </w:r>
      <w:proofErr w:type="spellEnd"/>
      <w:r w:rsidR="00810306">
        <w:rPr>
          <w:rFonts w:ascii="Times New Roman" w:hAnsi="Times New Roman"/>
          <w:sz w:val="24"/>
          <w:szCs w:val="24"/>
          <w:lang w:val="en-US"/>
        </w:rPr>
        <w:t xml:space="preserve"> courtrooms.</w:t>
      </w:r>
      <w:r w:rsidR="00E21F4D">
        <w:rPr>
          <w:rStyle w:val="FootnoteReference"/>
          <w:rFonts w:ascii="Times New Roman" w:hAnsi="Times New Roman"/>
          <w:sz w:val="24"/>
          <w:szCs w:val="24"/>
          <w:lang w:val="en-US"/>
        </w:rPr>
        <w:footnoteReference w:id="20"/>
      </w:r>
      <w:r w:rsidR="00810306">
        <w:rPr>
          <w:rFonts w:ascii="Times New Roman" w:hAnsi="Times New Roman"/>
          <w:sz w:val="24"/>
          <w:szCs w:val="24"/>
          <w:lang w:val="en-US"/>
        </w:rPr>
        <w:t xml:space="preserve"> In this context, the </w:t>
      </w:r>
      <w:proofErr w:type="spellStart"/>
      <w:r w:rsidR="00810306">
        <w:rPr>
          <w:rFonts w:ascii="Times New Roman" w:hAnsi="Times New Roman"/>
          <w:i/>
          <w:iCs/>
          <w:sz w:val="24"/>
          <w:szCs w:val="24"/>
        </w:rPr>
        <w:t>Aranyosi</w:t>
      </w:r>
      <w:proofErr w:type="spellEnd"/>
      <w:r w:rsidR="00895446">
        <w:rPr>
          <w:rFonts w:ascii="Times New Roman" w:hAnsi="Times New Roman"/>
          <w:i/>
          <w:iCs/>
          <w:sz w:val="24"/>
          <w:szCs w:val="24"/>
        </w:rPr>
        <w:t xml:space="preserve"> and </w:t>
      </w:r>
      <w:proofErr w:type="spellStart"/>
      <w:r w:rsidR="00895446" w:rsidRPr="00316D4D">
        <w:rPr>
          <w:rFonts w:ascii="Times New Roman" w:hAnsi="Times New Roman"/>
          <w:i/>
          <w:sz w:val="24"/>
          <w:szCs w:val="24"/>
          <w:lang w:val="en-US"/>
        </w:rPr>
        <w:t>Căldăraru</w:t>
      </w:r>
      <w:proofErr w:type="spellEnd"/>
      <w:r w:rsidR="00810306">
        <w:rPr>
          <w:rFonts w:ascii="Times New Roman" w:hAnsi="Times New Roman"/>
          <w:sz w:val="24"/>
          <w:szCs w:val="24"/>
          <w:lang w:val="en-US"/>
        </w:rPr>
        <w:t xml:space="preserve"> line of jurisprudence seemed to have been inevitable as from the early days of the Framework Decision 584/2001/JHA questions were raised if national judges may refuse </w:t>
      </w:r>
      <w:r w:rsidR="00AC6A3E">
        <w:rPr>
          <w:rFonts w:ascii="Times New Roman" w:hAnsi="Times New Roman"/>
          <w:sz w:val="24"/>
          <w:szCs w:val="24"/>
          <w:lang w:val="en-US"/>
        </w:rPr>
        <w:t xml:space="preserve">to </w:t>
      </w:r>
      <w:r w:rsidR="00810306">
        <w:rPr>
          <w:rFonts w:ascii="Times New Roman" w:hAnsi="Times New Roman"/>
          <w:sz w:val="24"/>
          <w:szCs w:val="24"/>
          <w:lang w:val="en-US"/>
        </w:rPr>
        <w:t>surrender on human rights grounds. The legal framework was somewhat confused as the Framework Decision 584/2001/JHA was not the finest hour of the EU legislator and the transposition effort by the national parliaments has been of questionable quality. The situation was exacerbated by the already mentioned lack of infringement proceedings in criminal matters, which - arguably - was partly to blame for incomplete transposition of EU Criminal Law to domestic legal orders.</w:t>
      </w:r>
      <w:r w:rsidR="005D634D">
        <w:rPr>
          <w:rStyle w:val="FootnoteReference"/>
          <w:rFonts w:ascii="Times New Roman" w:hAnsi="Times New Roman"/>
          <w:sz w:val="24"/>
          <w:szCs w:val="24"/>
          <w:lang w:val="en-US"/>
        </w:rPr>
        <w:footnoteReference w:id="21"/>
      </w:r>
      <w:r w:rsidR="00810306">
        <w:rPr>
          <w:rFonts w:ascii="Times New Roman" w:hAnsi="Times New Roman"/>
          <w:sz w:val="24"/>
          <w:szCs w:val="24"/>
          <w:lang w:val="en-US"/>
        </w:rPr>
        <w:t xml:space="preserve"> </w:t>
      </w:r>
    </w:p>
    <w:p w14:paraId="59AF11C6" w14:textId="77777777" w:rsidR="004E2F3A" w:rsidRDefault="004E2F3A">
      <w:pPr>
        <w:pStyle w:val="Default"/>
        <w:rPr>
          <w:rFonts w:ascii="Times New Roman" w:eastAsia="Times New Roman" w:hAnsi="Times New Roman" w:cs="Times New Roman"/>
          <w:sz w:val="24"/>
          <w:szCs w:val="24"/>
        </w:rPr>
      </w:pPr>
    </w:p>
    <w:p w14:paraId="2C49AECD" w14:textId="74E6CAD2" w:rsidR="004E2F3A" w:rsidRDefault="00810306">
      <w:pPr>
        <w:pStyle w:val="Default"/>
        <w:rPr>
          <w:rFonts w:ascii="Times New Roman" w:eastAsia="Times New Roman" w:hAnsi="Times New Roman" w:cs="Times New Roman"/>
          <w:b/>
          <w:bCs/>
          <w:sz w:val="24"/>
          <w:szCs w:val="24"/>
        </w:rPr>
      </w:pPr>
      <w:r>
        <w:rPr>
          <w:rFonts w:ascii="Times New Roman" w:hAnsi="Times New Roman"/>
          <w:b/>
          <w:bCs/>
          <w:sz w:val="24"/>
          <w:szCs w:val="24"/>
          <w:lang w:val="en-US"/>
        </w:rPr>
        <w:t xml:space="preserve">2.2. Thou shalt be my master: who </w:t>
      </w:r>
      <w:r w:rsidR="00F13907">
        <w:rPr>
          <w:rFonts w:ascii="Times New Roman" w:hAnsi="Times New Roman"/>
          <w:b/>
          <w:bCs/>
          <w:sz w:val="24"/>
          <w:szCs w:val="24"/>
          <w:lang w:val="en-US"/>
        </w:rPr>
        <w:t>art thou?</w:t>
      </w:r>
    </w:p>
    <w:p w14:paraId="21C3A818" w14:textId="77777777" w:rsidR="004E2F3A" w:rsidRDefault="004E2F3A">
      <w:pPr>
        <w:pStyle w:val="Default"/>
        <w:rPr>
          <w:rFonts w:ascii="Times New Roman" w:eastAsia="Times New Roman" w:hAnsi="Times New Roman" w:cs="Times New Roman"/>
          <w:sz w:val="24"/>
          <w:szCs w:val="24"/>
        </w:rPr>
      </w:pPr>
    </w:p>
    <w:p w14:paraId="6A146E58" w14:textId="47465FE2" w:rsidR="00C934BF" w:rsidRDefault="00810306">
      <w:pPr>
        <w:pStyle w:val="Default"/>
        <w:jc w:val="both"/>
        <w:rPr>
          <w:rFonts w:ascii="Times New Roman" w:hAnsi="Times New Roman"/>
          <w:sz w:val="24"/>
          <w:szCs w:val="24"/>
          <w:lang w:val="en-US"/>
        </w:rPr>
      </w:pPr>
      <w:r>
        <w:rPr>
          <w:rFonts w:ascii="Times New Roman" w:hAnsi="Times New Roman"/>
          <w:sz w:val="24"/>
          <w:szCs w:val="24"/>
          <w:lang w:val="en-US"/>
        </w:rPr>
        <w:t xml:space="preserve">In order to appreciate the complexities of </w:t>
      </w:r>
      <w:proofErr w:type="spellStart"/>
      <w:r>
        <w:rPr>
          <w:rFonts w:ascii="Times New Roman" w:hAnsi="Times New Roman"/>
          <w:i/>
          <w:iCs/>
          <w:sz w:val="24"/>
          <w:szCs w:val="24"/>
          <w:lang w:val="en-US"/>
        </w:rPr>
        <w:t>Aranyosi</w:t>
      </w:r>
      <w:proofErr w:type="spellEnd"/>
      <w:r>
        <w:rPr>
          <w:rFonts w:ascii="Times New Roman" w:hAnsi="Times New Roman"/>
          <w:sz w:val="24"/>
          <w:szCs w:val="24"/>
          <w:lang w:val="en-US"/>
        </w:rPr>
        <w:t xml:space="preserve"> </w:t>
      </w:r>
      <w:r w:rsidR="003A62F4" w:rsidRPr="003A62F4">
        <w:rPr>
          <w:rFonts w:ascii="Times New Roman" w:hAnsi="Times New Roman"/>
          <w:i/>
          <w:sz w:val="24"/>
          <w:szCs w:val="24"/>
          <w:lang w:val="en-US"/>
        </w:rPr>
        <w:t>and</w:t>
      </w:r>
      <w:r w:rsidR="003A62F4">
        <w:rPr>
          <w:rFonts w:ascii="Times New Roman" w:hAnsi="Times New Roman"/>
          <w:sz w:val="24"/>
          <w:szCs w:val="24"/>
          <w:lang w:val="en-US"/>
        </w:rPr>
        <w:t xml:space="preserve"> </w:t>
      </w:r>
      <w:proofErr w:type="spellStart"/>
      <w:r w:rsidR="003A62F4" w:rsidRPr="00316D4D">
        <w:rPr>
          <w:rFonts w:ascii="Times New Roman" w:hAnsi="Times New Roman"/>
          <w:i/>
          <w:sz w:val="24"/>
          <w:szCs w:val="24"/>
          <w:lang w:val="en-US"/>
        </w:rPr>
        <w:t>Căldăraru</w:t>
      </w:r>
      <w:proofErr w:type="spellEnd"/>
      <w:r w:rsidR="003A62F4" w:rsidRPr="00316D4D">
        <w:rPr>
          <w:rFonts w:ascii="Times New Roman" w:hAnsi="Times New Roman"/>
          <w:sz w:val="24"/>
          <w:szCs w:val="24"/>
          <w:lang w:val="en-US"/>
        </w:rPr>
        <w:t xml:space="preserve"> </w:t>
      </w:r>
      <w:r>
        <w:rPr>
          <w:rFonts w:ascii="Times New Roman" w:hAnsi="Times New Roman"/>
          <w:sz w:val="24"/>
          <w:szCs w:val="24"/>
          <w:lang w:val="en-US"/>
        </w:rPr>
        <w:t xml:space="preserve">line of jurisprudence it is worth to explore further the competing loyalties that national criminal courts face </w:t>
      </w:r>
      <w:r>
        <w:rPr>
          <w:rFonts w:ascii="Times New Roman" w:hAnsi="Times New Roman"/>
          <w:sz w:val="24"/>
          <w:szCs w:val="24"/>
        </w:rPr>
        <w:t xml:space="preserve">in </w:t>
      </w:r>
      <w:r>
        <w:rPr>
          <w:rFonts w:ascii="Times New Roman" w:hAnsi="Times New Roman"/>
          <w:sz w:val="24"/>
          <w:szCs w:val="24"/>
          <w:lang w:val="en-US"/>
        </w:rPr>
        <w:t>the very multifaceted legal environment they are operating in.</w:t>
      </w:r>
      <w:r>
        <w:rPr>
          <w:rFonts w:ascii="Times New Roman" w:hAnsi="Times New Roman"/>
          <w:sz w:val="24"/>
          <w:szCs w:val="24"/>
        </w:rPr>
        <w:t xml:space="preserve"> </w:t>
      </w:r>
      <w:r>
        <w:rPr>
          <w:rFonts w:ascii="Times New Roman" w:hAnsi="Times New Roman"/>
          <w:sz w:val="24"/>
          <w:szCs w:val="24"/>
          <w:lang w:val="en-US"/>
        </w:rPr>
        <w:t xml:space="preserve">It is a well-known treatise that national judges in the EU Member States serve at least two masters: the domestic and EU legal orders. On the one hand, as per national </w:t>
      </w:r>
      <w:r w:rsidR="005D634D">
        <w:rPr>
          <w:rFonts w:ascii="Times New Roman" w:hAnsi="Times New Roman"/>
          <w:sz w:val="24"/>
          <w:szCs w:val="24"/>
          <w:lang w:val="en-US"/>
        </w:rPr>
        <w:t>laws</w:t>
      </w:r>
      <w:r>
        <w:rPr>
          <w:rFonts w:ascii="Times New Roman" w:hAnsi="Times New Roman"/>
          <w:sz w:val="24"/>
          <w:szCs w:val="24"/>
          <w:lang w:val="en-US"/>
        </w:rPr>
        <w:t xml:space="preserve">, the task of national judges is to enforce the domestic law. On the other hand, the same judges have been mandated by the Court of Justice to guarantee the effectiveness of EU law and, by this token, to make sure it is enforced at the domestic level. In accordance with the doctrine of primacy, as developed by the judges at </w:t>
      </w:r>
      <w:proofErr w:type="spellStart"/>
      <w:r>
        <w:rPr>
          <w:rFonts w:ascii="Times New Roman" w:hAnsi="Times New Roman"/>
          <w:sz w:val="24"/>
          <w:szCs w:val="24"/>
          <w:lang w:val="en-US"/>
        </w:rPr>
        <w:t>Kirchberg</w:t>
      </w:r>
      <w:proofErr w:type="spellEnd"/>
      <w:r>
        <w:rPr>
          <w:rFonts w:ascii="Times New Roman" w:hAnsi="Times New Roman"/>
          <w:sz w:val="24"/>
          <w:szCs w:val="24"/>
          <w:lang w:val="en-US"/>
        </w:rPr>
        <w:t xml:space="preserve">, in cases of conflict between the domestic and EU law a national judge is governed by the </w:t>
      </w:r>
      <w:proofErr w:type="spellStart"/>
      <w:r>
        <w:rPr>
          <w:rFonts w:ascii="Times New Roman" w:hAnsi="Times New Roman"/>
          <w:i/>
          <w:iCs/>
          <w:sz w:val="24"/>
          <w:szCs w:val="24"/>
          <w:lang w:val="en-US"/>
        </w:rPr>
        <w:t>Simmenthal</w:t>
      </w:r>
      <w:proofErr w:type="spellEnd"/>
      <w:r>
        <w:rPr>
          <w:rFonts w:ascii="Times New Roman" w:hAnsi="Times New Roman"/>
          <w:sz w:val="24"/>
          <w:szCs w:val="24"/>
          <w:lang w:val="en-US"/>
        </w:rPr>
        <w:t xml:space="preserve"> mandate.</w:t>
      </w:r>
      <w:r>
        <w:rPr>
          <w:rFonts w:ascii="Times New Roman" w:eastAsia="Times New Roman" w:hAnsi="Times New Roman" w:cs="Times New Roman"/>
          <w:sz w:val="24"/>
          <w:szCs w:val="24"/>
          <w:vertAlign w:val="superscript"/>
        </w:rPr>
        <w:footnoteReference w:id="22"/>
      </w:r>
      <w:r>
        <w:rPr>
          <w:rFonts w:ascii="Times New Roman" w:hAnsi="Times New Roman"/>
          <w:sz w:val="24"/>
          <w:szCs w:val="24"/>
          <w:lang w:val="en-US"/>
        </w:rPr>
        <w:t xml:space="preserve"> Thus, in a given case it has to set aside the domestic law and to give EU law priority. This, in itself, is a challenge for the national judiciaries, in particular when countries join the European Union. Over the years its membership (and of its predecessor the European Community) has grown from the six founding countries to the current twenty-seven.</w:t>
      </w:r>
      <w:r>
        <w:rPr>
          <w:rFonts w:ascii="Times New Roman" w:eastAsia="Times New Roman" w:hAnsi="Times New Roman" w:cs="Times New Roman"/>
          <w:sz w:val="24"/>
          <w:szCs w:val="24"/>
          <w:vertAlign w:val="superscript"/>
        </w:rPr>
        <w:footnoteReference w:id="23"/>
      </w:r>
      <w:r>
        <w:rPr>
          <w:rFonts w:ascii="Times New Roman" w:hAnsi="Times New Roman"/>
          <w:sz w:val="24"/>
          <w:szCs w:val="24"/>
          <w:lang w:val="en-US"/>
        </w:rPr>
        <w:t xml:space="preserve"> This has brought under the same umbrella a very diverse group of European states with different legal traditions and cultures as well as different attitudes to non-domestic sources of law.</w:t>
      </w:r>
      <w:r>
        <w:rPr>
          <w:rFonts w:ascii="Times New Roman" w:eastAsia="Times New Roman" w:hAnsi="Times New Roman" w:cs="Times New Roman"/>
          <w:sz w:val="24"/>
          <w:szCs w:val="24"/>
          <w:vertAlign w:val="superscript"/>
        </w:rPr>
        <w:footnoteReference w:id="24"/>
      </w:r>
      <w:r>
        <w:rPr>
          <w:rFonts w:ascii="Times New Roman" w:hAnsi="Times New Roman"/>
          <w:sz w:val="24"/>
          <w:szCs w:val="24"/>
          <w:lang w:val="en-US"/>
        </w:rPr>
        <w:t xml:space="preserve"> But the legal environment in which national judges operate goes beyond the EU and national legal orders. As well-known, all Member States of the European Union are also members of Council of Europe and, by the same token, parties to the European Convention of Human Rights and Fundamental Freedoms as well as subject to scrutiny by the European Court of Human Rights. Navigating such a </w:t>
      </w:r>
      <w:r w:rsidR="00FA59CD">
        <w:rPr>
          <w:rFonts w:ascii="Times New Roman" w:hAnsi="Times New Roman"/>
          <w:sz w:val="24"/>
          <w:szCs w:val="24"/>
          <w:lang w:val="en-US"/>
        </w:rPr>
        <w:t>multifaced</w:t>
      </w:r>
      <w:r>
        <w:rPr>
          <w:rFonts w:ascii="Times New Roman" w:hAnsi="Times New Roman"/>
          <w:sz w:val="24"/>
          <w:szCs w:val="24"/>
          <w:lang w:val="en-US"/>
        </w:rPr>
        <w:t>, and not always consistent, web of rules is at times an unenviable task. In an average case of European Arrest Warrant a domestic court</w:t>
      </w:r>
      <w:r w:rsidR="00B67834">
        <w:rPr>
          <w:rFonts w:ascii="Times New Roman" w:hAnsi="Times New Roman"/>
          <w:sz w:val="24"/>
          <w:szCs w:val="24"/>
          <w:lang w:val="en-US"/>
        </w:rPr>
        <w:t>,</w:t>
      </w:r>
      <w:r>
        <w:rPr>
          <w:rFonts w:ascii="Times New Roman" w:hAnsi="Times New Roman"/>
          <w:sz w:val="24"/>
          <w:szCs w:val="24"/>
          <w:lang w:val="en-US"/>
        </w:rPr>
        <w:t xml:space="preserve"> which deals with its execution</w:t>
      </w:r>
      <w:r w:rsidR="00B67834">
        <w:rPr>
          <w:rFonts w:ascii="Times New Roman" w:hAnsi="Times New Roman"/>
          <w:sz w:val="24"/>
          <w:szCs w:val="24"/>
          <w:lang w:val="en-US"/>
        </w:rPr>
        <w:t>,</w:t>
      </w:r>
      <w:r>
        <w:rPr>
          <w:rFonts w:ascii="Times New Roman" w:hAnsi="Times New Roman"/>
          <w:sz w:val="24"/>
          <w:szCs w:val="24"/>
          <w:lang w:val="en-US"/>
        </w:rPr>
        <w:t xml:space="preserve"> will face, on the one hand, the domestic Constitution and national rules giving effect to the Framework Decision 584/2001/JHA and, on the other hand, the Framework Decision 584/2001/JHA itself as well as the Charter of Fundamental Rights and the ECHR. In this respect the case </w:t>
      </w:r>
      <w:proofErr w:type="spellStart"/>
      <w:r>
        <w:rPr>
          <w:rFonts w:ascii="Times New Roman" w:hAnsi="Times New Roman"/>
          <w:i/>
          <w:iCs/>
          <w:sz w:val="24"/>
          <w:szCs w:val="24"/>
          <w:lang w:val="en-US"/>
        </w:rPr>
        <w:t>Melloni</w:t>
      </w:r>
      <w:proofErr w:type="spellEnd"/>
      <w:r>
        <w:rPr>
          <w:rFonts w:ascii="Times New Roman" w:eastAsia="Times New Roman" w:hAnsi="Times New Roman" w:cs="Times New Roman"/>
          <w:sz w:val="24"/>
          <w:szCs w:val="24"/>
          <w:vertAlign w:val="superscript"/>
        </w:rPr>
        <w:footnoteReference w:id="25"/>
      </w:r>
      <w:r>
        <w:rPr>
          <w:rFonts w:ascii="Times New Roman" w:hAnsi="Times New Roman"/>
          <w:sz w:val="24"/>
          <w:szCs w:val="24"/>
          <w:lang w:val="en-US"/>
        </w:rPr>
        <w:t xml:space="preserve"> and the Opinion 2/13 on accession to ECHR</w:t>
      </w:r>
      <w:r>
        <w:rPr>
          <w:rFonts w:ascii="Times New Roman" w:eastAsia="Times New Roman" w:hAnsi="Times New Roman" w:cs="Times New Roman"/>
          <w:sz w:val="24"/>
          <w:szCs w:val="24"/>
          <w:vertAlign w:val="superscript"/>
        </w:rPr>
        <w:footnoteReference w:id="26"/>
      </w:r>
      <w:r>
        <w:rPr>
          <w:rFonts w:ascii="Times New Roman" w:hAnsi="Times New Roman"/>
          <w:sz w:val="24"/>
          <w:szCs w:val="24"/>
          <w:lang w:val="en-US"/>
        </w:rPr>
        <w:t xml:space="preserve"> demonstrate the </w:t>
      </w:r>
      <w:r w:rsidR="003011B9">
        <w:rPr>
          <w:rFonts w:ascii="Times New Roman" w:hAnsi="Times New Roman"/>
          <w:sz w:val="24"/>
          <w:szCs w:val="24"/>
          <w:lang w:val="en-US"/>
        </w:rPr>
        <w:t xml:space="preserve">potential </w:t>
      </w:r>
      <w:r>
        <w:rPr>
          <w:rFonts w:ascii="Times New Roman" w:hAnsi="Times New Roman"/>
          <w:sz w:val="24"/>
          <w:szCs w:val="24"/>
          <w:lang w:val="en-US"/>
        </w:rPr>
        <w:t xml:space="preserve">complexities rather well. In </w:t>
      </w:r>
      <w:proofErr w:type="spellStart"/>
      <w:r w:rsidRPr="00FA59CD">
        <w:rPr>
          <w:rFonts w:ascii="Times New Roman" w:hAnsi="Times New Roman"/>
          <w:i/>
          <w:sz w:val="24"/>
          <w:szCs w:val="24"/>
          <w:lang w:val="en-US"/>
        </w:rPr>
        <w:t>Melloni</w:t>
      </w:r>
      <w:proofErr w:type="spellEnd"/>
      <w:r>
        <w:rPr>
          <w:rFonts w:ascii="Times New Roman" w:hAnsi="Times New Roman"/>
          <w:sz w:val="24"/>
          <w:szCs w:val="24"/>
          <w:lang w:val="en-US"/>
        </w:rPr>
        <w:t xml:space="preserve"> the Court of Justice was asked by the Spanish Constitutional Court whether the domestic constitutional standard of human rights protection should prevail over the Framework Decision on the European Arrest Warrant. The answer of the Court of Justice was controversial, to say the least.</w:t>
      </w:r>
      <w:r>
        <w:rPr>
          <w:rFonts w:ascii="Times New Roman" w:eastAsia="Times New Roman" w:hAnsi="Times New Roman" w:cs="Times New Roman"/>
          <w:sz w:val="24"/>
          <w:szCs w:val="24"/>
          <w:vertAlign w:val="superscript"/>
        </w:rPr>
        <w:footnoteReference w:id="27"/>
      </w:r>
      <w:r>
        <w:rPr>
          <w:rFonts w:ascii="Times New Roman" w:hAnsi="Times New Roman"/>
          <w:sz w:val="24"/>
          <w:szCs w:val="24"/>
          <w:lang w:val="en-US"/>
        </w:rPr>
        <w:t xml:space="preserve"> The Court held that while the Framework Decision 584/2001/JHA complied with the Charter of Fundamental Rights, the Spanish courts could not apply a higher standard of human rights protection developed on the basis of the Spanish Constitution. </w:t>
      </w:r>
      <w:r w:rsidR="007A30D4">
        <w:rPr>
          <w:rFonts w:ascii="Times New Roman" w:hAnsi="Times New Roman"/>
          <w:sz w:val="24"/>
          <w:szCs w:val="24"/>
          <w:lang w:val="en-US"/>
        </w:rPr>
        <w:t>Arguably</w:t>
      </w:r>
      <w:r>
        <w:rPr>
          <w:rFonts w:ascii="Times New Roman" w:hAnsi="Times New Roman"/>
          <w:sz w:val="24"/>
          <w:szCs w:val="24"/>
          <w:lang w:val="en-US"/>
        </w:rPr>
        <w:t>, the Court of Justice seem</w:t>
      </w:r>
      <w:r w:rsidR="003011B9">
        <w:rPr>
          <w:rFonts w:ascii="Times New Roman" w:hAnsi="Times New Roman"/>
          <w:sz w:val="24"/>
          <w:szCs w:val="24"/>
          <w:lang w:val="en-US"/>
        </w:rPr>
        <w:t>s</w:t>
      </w:r>
      <w:r>
        <w:rPr>
          <w:rFonts w:ascii="Times New Roman" w:hAnsi="Times New Roman"/>
          <w:sz w:val="24"/>
          <w:szCs w:val="24"/>
          <w:lang w:val="en-US"/>
        </w:rPr>
        <w:t xml:space="preserve"> to have sacrificed justice on the altar of securit</w:t>
      </w:r>
      <w:r w:rsidR="007D44A1">
        <w:rPr>
          <w:rFonts w:ascii="Times New Roman" w:hAnsi="Times New Roman"/>
          <w:sz w:val="24"/>
          <w:szCs w:val="24"/>
          <w:lang w:val="en-US"/>
        </w:rPr>
        <w:t xml:space="preserve">y, but that must have been for a reason: </w:t>
      </w:r>
      <w:r>
        <w:rPr>
          <w:rFonts w:ascii="Times New Roman" w:hAnsi="Times New Roman"/>
          <w:sz w:val="24"/>
          <w:szCs w:val="24"/>
          <w:lang w:val="en-US"/>
        </w:rPr>
        <w:t xml:space="preserve">the judges at </w:t>
      </w:r>
      <w:proofErr w:type="spellStart"/>
      <w:r>
        <w:rPr>
          <w:rFonts w:ascii="Times New Roman" w:hAnsi="Times New Roman"/>
          <w:sz w:val="24"/>
          <w:szCs w:val="24"/>
          <w:lang w:val="en-US"/>
        </w:rPr>
        <w:t>Kirchberg</w:t>
      </w:r>
      <w:proofErr w:type="spellEnd"/>
      <w:r>
        <w:rPr>
          <w:rFonts w:ascii="Times New Roman" w:hAnsi="Times New Roman"/>
          <w:sz w:val="24"/>
          <w:szCs w:val="24"/>
          <w:lang w:val="en-US"/>
        </w:rPr>
        <w:t xml:space="preserve"> feared that to rule otherwise would undermine the effectiveness of the mutual recognition or, more broadly, EU law. This was confirmed</w:t>
      </w:r>
      <w:r w:rsidR="007A30D4">
        <w:rPr>
          <w:rFonts w:ascii="Times New Roman" w:hAnsi="Times New Roman"/>
          <w:sz w:val="24"/>
          <w:szCs w:val="24"/>
          <w:lang w:val="en-US"/>
        </w:rPr>
        <w:t xml:space="preserve"> a few years later</w:t>
      </w:r>
      <w:r>
        <w:rPr>
          <w:rFonts w:ascii="Times New Roman" w:hAnsi="Times New Roman"/>
          <w:sz w:val="24"/>
          <w:szCs w:val="24"/>
          <w:lang w:val="en-US"/>
        </w:rPr>
        <w:t xml:space="preserve"> in Opinion 2/13, in which the Court of Justice rejected the possibility of accession to ECHR under the terms of the negotiated </w:t>
      </w:r>
      <w:r w:rsidR="007A30D4">
        <w:rPr>
          <w:rFonts w:ascii="Times New Roman" w:hAnsi="Times New Roman"/>
          <w:sz w:val="24"/>
          <w:szCs w:val="24"/>
          <w:lang w:val="en-US"/>
        </w:rPr>
        <w:t>A</w:t>
      </w:r>
      <w:r>
        <w:rPr>
          <w:rFonts w:ascii="Times New Roman" w:hAnsi="Times New Roman"/>
          <w:sz w:val="24"/>
          <w:szCs w:val="24"/>
          <w:lang w:val="en-US"/>
        </w:rPr>
        <w:t xml:space="preserve">ccession </w:t>
      </w:r>
      <w:r w:rsidR="007A30D4">
        <w:rPr>
          <w:rFonts w:ascii="Times New Roman" w:hAnsi="Times New Roman"/>
          <w:sz w:val="24"/>
          <w:szCs w:val="24"/>
          <w:lang w:val="en-US"/>
        </w:rPr>
        <w:t>A</w:t>
      </w:r>
      <w:r>
        <w:rPr>
          <w:rFonts w:ascii="Times New Roman" w:hAnsi="Times New Roman"/>
          <w:sz w:val="24"/>
          <w:szCs w:val="24"/>
          <w:lang w:val="en-US"/>
        </w:rPr>
        <w:t>greement.</w:t>
      </w:r>
      <w:r>
        <w:rPr>
          <w:rFonts w:ascii="Times New Roman" w:eastAsia="Times New Roman" w:hAnsi="Times New Roman" w:cs="Times New Roman"/>
          <w:sz w:val="24"/>
          <w:szCs w:val="24"/>
          <w:vertAlign w:val="superscript"/>
        </w:rPr>
        <w:footnoteReference w:id="28"/>
      </w:r>
      <w:r>
        <w:rPr>
          <w:rFonts w:ascii="Times New Roman" w:hAnsi="Times New Roman"/>
          <w:sz w:val="24"/>
          <w:szCs w:val="24"/>
          <w:lang w:val="en-US"/>
        </w:rPr>
        <w:t xml:space="preserve"> One of the main reasons behind the Court’s decision was protection of the mutual recognition in criminal matters.</w:t>
      </w:r>
    </w:p>
    <w:p w14:paraId="2CDA06B4" w14:textId="77777777" w:rsidR="00C934BF" w:rsidRDefault="00C934BF">
      <w:pPr>
        <w:pStyle w:val="Default"/>
        <w:jc w:val="both"/>
        <w:rPr>
          <w:rFonts w:ascii="Times New Roman" w:hAnsi="Times New Roman"/>
          <w:sz w:val="24"/>
          <w:szCs w:val="24"/>
          <w:lang w:val="en-US"/>
        </w:rPr>
      </w:pPr>
    </w:p>
    <w:p w14:paraId="433FEDF9" w14:textId="77777777" w:rsidR="004E2F3A" w:rsidRDefault="00810306">
      <w:pPr>
        <w:pStyle w:val="Default"/>
        <w:jc w:val="both"/>
        <w:rPr>
          <w:rFonts w:ascii="Times New Roman" w:eastAsia="Times New Roman" w:hAnsi="Times New Roman" w:cs="Times New Roman"/>
          <w:sz w:val="24"/>
          <w:szCs w:val="24"/>
        </w:rPr>
      </w:pPr>
      <w:r>
        <w:rPr>
          <w:rFonts w:ascii="Times New Roman" w:hAnsi="Times New Roman"/>
          <w:sz w:val="24"/>
          <w:szCs w:val="24"/>
          <w:lang w:val="en-US"/>
        </w:rPr>
        <w:t xml:space="preserve">For criminal courts the jurisprudence on enforcement of framework decisions was of equal importance. It was clear from the start that they cannot produce direct effect as the former Article 34 TEU was unequivocal in this respect. However, the subsequent jurisprudence of the Court extended the application of the doctrine of indirect effect to framework decisions. The starting point was case C-105/03 </w:t>
      </w:r>
      <w:proofErr w:type="spellStart"/>
      <w:r>
        <w:rPr>
          <w:rFonts w:ascii="Times New Roman" w:hAnsi="Times New Roman"/>
          <w:i/>
          <w:iCs/>
          <w:sz w:val="24"/>
          <w:szCs w:val="24"/>
          <w:lang w:val="en-US"/>
        </w:rPr>
        <w:t>Pupino</w:t>
      </w:r>
      <w:proofErr w:type="spellEnd"/>
      <w:r>
        <w:rPr>
          <w:rFonts w:ascii="Times New Roman" w:eastAsia="Times New Roman" w:hAnsi="Times New Roman" w:cs="Times New Roman"/>
          <w:sz w:val="24"/>
          <w:szCs w:val="24"/>
          <w:vertAlign w:val="superscript"/>
        </w:rPr>
        <w:footnoteReference w:id="29"/>
      </w:r>
      <w:r>
        <w:rPr>
          <w:rFonts w:ascii="Times New Roman" w:hAnsi="Times New Roman"/>
          <w:sz w:val="24"/>
          <w:szCs w:val="24"/>
          <w:lang w:val="en-US"/>
        </w:rPr>
        <w:t xml:space="preserve">, while judgments in cases C-42/11 </w:t>
      </w:r>
      <w:r>
        <w:rPr>
          <w:rFonts w:ascii="Times New Roman" w:hAnsi="Times New Roman"/>
          <w:i/>
          <w:iCs/>
          <w:sz w:val="24"/>
          <w:szCs w:val="24"/>
          <w:lang w:val="en-US"/>
        </w:rPr>
        <w:t>Da Silva Jorge</w:t>
      </w:r>
      <w:r>
        <w:rPr>
          <w:rFonts w:ascii="Times New Roman" w:eastAsia="Times New Roman" w:hAnsi="Times New Roman" w:cs="Times New Roman"/>
          <w:sz w:val="24"/>
          <w:szCs w:val="24"/>
          <w:vertAlign w:val="superscript"/>
        </w:rPr>
        <w:footnoteReference w:id="30"/>
      </w:r>
      <w:r>
        <w:rPr>
          <w:rFonts w:ascii="Times New Roman" w:hAnsi="Times New Roman"/>
          <w:sz w:val="24"/>
          <w:szCs w:val="24"/>
          <w:lang w:val="en-US"/>
        </w:rPr>
        <w:t xml:space="preserve"> and C-579/15 </w:t>
      </w:r>
      <w:r>
        <w:rPr>
          <w:rFonts w:ascii="Times New Roman" w:hAnsi="Times New Roman"/>
          <w:i/>
          <w:iCs/>
          <w:sz w:val="24"/>
          <w:szCs w:val="24"/>
          <w:lang w:val="en-US"/>
        </w:rPr>
        <w:t>Pop</w:t>
      </w:r>
      <w:proofErr w:type="spellStart"/>
      <w:r>
        <w:rPr>
          <w:rFonts w:ascii="Times New Roman" w:hAnsi="Times New Roman"/>
          <w:i/>
          <w:iCs/>
          <w:sz w:val="24"/>
          <w:szCs w:val="24"/>
        </w:rPr>
        <w:t>ławski</w:t>
      </w:r>
      <w:proofErr w:type="spellEnd"/>
      <w:r>
        <w:rPr>
          <w:rFonts w:ascii="Times New Roman" w:eastAsia="Times New Roman" w:hAnsi="Times New Roman" w:cs="Times New Roman"/>
          <w:sz w:val="24"/>
          <w:szCs w:val="24"/>
          <w:vertAlign w:val="superscript"/>
        </w:rPr>
        <w:footnoteReference w:id="31"/>
      </w:r>
      <w:r>
        <w:rPr>
          <w:rFonts w:ascii="Times New Roman" w:hAnsi="Times New Roman"/>
          <w:sz w:val="24"/>
          <w:szCs w:val="24"/>
        </w:rPr>
        <w:t xml:space="preserve"> </w:t>
      </w:r>
      <w:r>
        <w:rPr>
          <w:rFonts w:ascii="Times New Roman" w:hAnsi="Times New Roman"/>
          <w:sz w:val="24"/>
          <w:szCs w:val="24"/>
          <w:lang w:val="en-US"/>
        </w:rPr>
        <w:t xml:space="preserve">provided further guidance to national judges. But the question is whether the answers of the Court of Justice </w:t>
      </w:r>
      <w:r w:rsidR="00EB05E2">
        <w:rPr>
          <w:rFonts w:ascii="Times New Roman" w:hAnsi="Times New Roman"/>
          <w:sz w:val="24"/>
          <w:szCs w:val="24"/>
          <w:lang w:val="en-US"/>
        </w:rPr>
        <w:t>have mad</w:t>
      </w:r>
      <w:r>
        <w:rPr>
          <w:rFonts w:ascii="Times New Roman" w:hAnsi="Times New Roman"/>
          <w:sz w:val="24"/>
          <w:szCs w:val="24"/>
          <w:lang w:val="en-US"/>
        </w:rPr>
        <w:t xml:space="preserve">e the tasks of national judges clearer or, </w:t>
      </w:r>
      <w:r>
        <w:rPr>
          <w:rFonts w:ascii="Times New Roman" w:hAnsi="Times New Roman"/>
          <w:i/>
          <w:iCs/>
          <w:sz w:val="24"/>
          <w:szCs w:val="24"/>
          <w:lang w:val="en-US"/>
        </w:rPr>
        <w:t>au contraire</w:t>
      </w:r>
      <w:r w:rsidR="00B36DBA">
        <w:rPr>
          <w:rFonts w:ascii="Times New Roman" w:hAnsi="Times New Roman"/>
          <w:sz w:val="24"/>
          <w:szCs w:val="24"/>
          <w:lang w:val="en-US"/>
        </w:rPr>
        <w:t>, they have l</w:t>
      </w:r>
      <w:r w:rsidR="0068661F">
        <w:rPr>
          <w:rFonts w:ascii="Times New Roman" w:hAnsi="Times New Roman"/>
          <w:sz w:val="24"/>
          <w:szCs w:val="24"/>
          <w:lang w:val="en-US"/>
        </w:rPr>
        <w:t>e</w:t>
      </w:r>
      <w:r>
        <w:rPr>
          <w:rFonts w:ascii="Times New Roman" w:hAnsi="Times New Roman"/>
          <w:sz w:val="24"/>
          <w:szCs w:val="24"/>
          <w:lang w:val="en-US"/>
        </w:rPr>
        <w:t xml:space="preserve">d to confusion. For instance, in case C-579/15 </w:t>
      </w:r>
      <w:r>
        <w:rPr>
          <w:rFonts w:ascii="Times New Roman" w:hAnsi="Times New Roman"/>
          <w:i/>
          <w:iCs/>
          <w:sz w:val="24"/>
          <w:szCs w:val="24"/>
          <w:lang w:val="en-US"/>
        </w:rPr>
        <w:t>Pop</w:t>
      </w:r>
      <w:proofErr w:type="spellStart"/>
      <w:r>
        <w:rPr>
          <w:rFonts w:ascii="Times New Roman" w:hAnsi="Times New Roman"/>
          <w:i/>
          <w:iCs/>
          <w:sz w:val="24"/>
          <w:szCs w:val="24"/>
        </w:rPr>
        <w:t>ławski</w:t>
      </w:r>
      <w:proofErr w:type="spellEnd"/>
      <w:r>
        <w:rPr>
          <w:rFonts w:ascii="Times New Roman" w:hAnsi="Times New Roman"/>
          <w:sz w:val="24"/>
          <w:szCs w:val="24"/>
          <w:lang w:val="en-US"/>
        </w:rPr>
        <w:t xml:space="preserve"> the Court of Justice held:</w:t>
      </w:r>
    </w:p>
    <w:p w14:paraId="06994759" w14:textId="77777777" w:rsidR="004E2F3A" w:rsidRDefault="004E2F3A">
      <w:pPr>
        <w:pStyle w:val="Default"/>
        <w:jc w:val="both"/>
        <w:rPr>
          <w:rFonts w:ascii="Times New Roman" w:eastAsia="Times New Roman" w:hAnsi="Times New Roman" w:cs="Times New Roman"/>
          <w:sz w:val="24"/>
          <w:szCs w:val="24"/>
        </w:rPr>
      </w:pPr>
    </w:p>
    <w:p w14:paraId="4152C54C" w14:textId="77777777" w:rsidR="004E2F3A" w:rsidRDefault="00810306">
      <w:pPr>
        <w:pStyle w:val="Default"/>
        <w:ind w:left="1134" w:right="1134"/>
        <w:jc w:val="both"/>
        <w:rPr>
          <w:rFonts w:ascii="Times New Roman" w:eastAsia="Times New Roman" w:hAnsi="Times New Roman" w:cs="Times New Roman"/>
        </w:rPr>
      </w:pPr>
      <w:r>
        <w:rPr>
          <w:rFonts w:ascii="Times New Roman" w:hAnsi="Times New Roman"/>
          <w:lang w:val="en-US"/>
        </w:rPr>
        <w:t xml:space="preserve">“the fact remains that the principle that national law must be interpreted in conformity with EU law requires national courts to do whatever lies within their jurisdiction, taking the whole body of domestic law into consideration and applying the interpretative methods </w:t>
      </w:r>
      <w:proofErr w:type="spellStart"/>
      <w:r>
        <w:rPr>
          <w:rFonts w:ascii="Times New Roman" w:hAnsi="Times New Roman"/>
          <w:lang w:val="en-US"/>
        </w:rPr>
        <w:t>recognised</w:t>
      </w:r>
      <w:proofErr w:type="spellEnd"/>
      <w:r>
        <w:rPr>
          <w:rFonts w:ascii="Times New Roman" w:hAnsi="Times New Roman"/>
          <w:lang w:val="en-US"/>
        </w:rPr>
        <w:t xml:space="preserve"> by it, with a view to ensuring that the framework decision in question is fully effective and to achieving an outcome consistent with the objective pursued by it.”</w:t>
      </w:r>
      <w:r>
        <w:rPr>
          <w:rFonts w:ascii="Times New Roman" w:eastAsia="Times New Roman" w:hAnsi="Times New Roman" w:cs="Times New Roman"/>
          <w:vertAlign w:val="superscript"/>
        </w:rPr>
        <w:footnoteReference w:id="32"/>
      </w:r>
    </w:p>
    <w:p w14:paraId="1F67D5A5" w14:textId="77777777" w:rsidR="004E2F3A" w:rsidRDefault="004E2F3A">
      <w:pPr>
        <w:pStyle w:val="Default"/>
        <w:jc w:val="both"/>
        <w:rPr>
          <w:rFonts w:ascii="Times New Roman" w:eastAsia="Times New Roman" w:hAnsi="Times New Roman" w:cs="Times New Roman"/>
          <w:sz w:val="24"/>
          <w:szCs w:val="24"/>
        </w:rPr>
      </w:pPr>
    </w:p>
    <w:p w14:paraId="6D7BD708" w14:textId="537C5F69" w:rsidR="004E2F3A" w:rsidRDefault="00810306">
      <w:pPr>
        <w:pStyle w:val="Default"/>
        <w:jc w:val="both"/>
        <w:rPr>
          <w:rFonts w:ascii="Times New Roman" w:eastAsia="Times New Roman" w:hAnsi="Times New Roman" w:cs="Times New Roman"/>
          <w:sz w:val="24"/>
          <w:szCs w:val="24"/>
        </w:rPr>
      </w:pPr>
      <w:r>
        <w:rPr>
          <w:rFonts w:ascii="Times New Roman" w:hAnsi="Times New Roman"/>
          <w:sz w:val="24"/>
          <w:szCs w:val="24"/>
          <w:lang w:val="en-US"/>
        </w:rPr>
        <w:t xml:space="preserve">In theoretical terms such a conclusion </w:t>
      </w:r>
      <w:r w:rsidR="00B36DBA">
        <w:rPr>
          <w:rFonts w:ascii="Times New Roman" w:hAnsi="Times New Roman"/>
          <w:sz w:val="24"/>
          <w:szCs w:val="24"/>
          <w:lang w:val="en-US"/>
        </w:rPr>
        <w:t>is</w:t>
      </w:r>
      <w:r>
        <w:rPr>
          <w:rFonts w:ascii="Times New Roman" w:hAnsi="Times New Roman"/>
          <w:sz w:val="24"/>
          <w:szCs w:val="24"/>
          <w:lang w:val="en-US"/>
        </w:rPr>
        <w:t xml:space="preserve"> plausible but for many domestic judges i</w:t>
      </w:r>
      <w:r w:rsidR="00B36DBA">
        <w:rPr>
          <w:rFonts w:ascii="Times New Roman" w:hAnsi="Times New Roman"/>
          <w:sz w:val="24"/>
          <w:szCs w:val="24"/>
          <w:lang w:val="en-US"/>
        </w:rPr>
        <w:t>t may seem confusing how to square</w:t>
      </w:r>
      <w:r>
        <w:rPr>
          <w:rFonts w:ascii="Times New Roman" w:hAnsi="Times New Roman"/>
          <w:sz w:val="24"/>
          <w:szCs w:val="24"/>
          <w:lang w:val="en-US"/>
        </w:rPr>
        <w:t xml:space="preserve"> </w:t>
      </w:r>
      <w:r w:rsidR="00B36DBA">
        <w:rPr>
          <w:rFonts w:ascii="Times New Roman" w:hAnsi="Times New Roman"/>
          <w:sz w:val="24"/>
          <w:szCs w:val="24"/>
          <w:lang w:val="en-US"/>
        </w:rPr>
        <w:t>the</w:t>
      </w:r>
      <w:r>
        <w:rPr>
          <w:rFonts w:ascii="Times New Roman" w:hAnsi="Times New Roman"/>
          <w:sz w:val="24"/>
          <w:szCs w:val="24"/>
          <w:lang w:val="en-US"/>
        </w:rPr>
        <w:t xml:space="preserve"> circle in </w:t>
      </w:r>
      <w:r w:rsidR="00B36DBA">
        <w:rPr>
          <w:rFonts w:ascii="Times New Roman" w:hAnsi="Times New Roman"/>
          <w:sz w:val="24"/>
          <w:szCs w:val="24"/>
        </w:rPr>
        <w:t>a</w:t>
      </w:r>
      <w:r>
        <w:rPr>
          <w:rFonts w:ascii="Times New Roman" w:hAnsi="Times New Roman"/>
          <w:sz w:val="24"/>
          <w:szCs w:val="24"/>
        </w:rPr>
        <w:t xml:space="preserve"> courtroom</w:t>
      </w:r>
      <w:r>
        <w:rPr>
          <w:rFonts w:ascii="Times New Roman" w:hAnsi="Times New Roman"/>
          <w:sz w:val="24"/>
          <w:szCs w:val="24"/>
          <w:lang w:val="en-US"/>
        </w:rPr>
        <w:t xml:space="preserve">. In case of the Framework Decision on the European Arrest Warrant the challenges are exacerbated by the fact that, as already mentioned above, the </w:t>
      </w:r>
      <w:r>
        <w:rPr>
          <w:rFonts w:ascii="Times New Roman" w:hAnsi="Times New Roman"/>
          <w:sz w:val="24"/>
          <w:szCs w:val="24"/>
        </w:rPr>
        <w:t>domestic provision</w:t>
      </w:r>
      <w:r w:rsidR="00CD058E">
        <w:rPr>
          <w:rFonts w:ascii="Times New Roman" w:hAnsi="Times New Roman"/>
          <w:sz w:val="24"/>
          <w:szCs w:val="24"/>
        </w:rPr>
        <w:t>s</w:t>
      </w:r>
      <w:r>
        <w:rPr>
          <w:rFonts w:ascii="Times New Roman" w:hAnsi="Times New Roman"/>
          <w:sz w:val="24"/>
          <w:szCs w:val="24"/>
        </w:rPr>
        <w:t xml:space="preserve"> of many Member States do not loyally mirror the EU legislation in question. For instance, the national legislators were quite economical with transposition </w:t>
      </w:r>
      <w:r>
        <w:rPr>
          <w:rFonts w:ascii="Times New Roman" w:hAnsi="Times New Roman"/>
          <w:sz w:val="24"/>
          <w:szCs w:val="24"/>
          <w:lang w:val="en-US"/>
        </w:rPr>
        <w:t>of grounds for refusal to surrender laid down in Article 4 of the Framework Decision.</w:t>
      </w:r>
      <w:r w:rsidR="0054102F">
        <w:rPr>
          <w:rStyle w:val="FootnoteReference"/>
          <w:rFonts w:ascii="Times New Roman" w:hAnsi="Times New Roman"/>
          <w:sz w:val="24"/>
          <w:szCs w:val="24"/>
          <w:lang w:val="en-US"/>
        </w:rPr>
        <w:footnoteReference w:id="33"/>
      </w:r>
      <w:r>
        <w:rPr>
          <w:rFonts w:ascii="Times New Roman" w:hAnsi="Times New Roman"/>
          <w:sz w:val="24"/>
          <w:szCs w:val="24"/>
          <w:lang w:val="en-US"/>
        </w:rPr>
        <w:t xml:space="preserve"> Furthermore, some Member States have included the human rights grounds even though they are neither mentioned on the list of obligatory grounds or optional grounds for refusal to surrender. Yet, at the same time, as per Article 1(3) of EAW FD the legislation in question does not modify the obligation to respect the fundamental rights and principles outlined in Article 6 TEU. </w:t>
      </w:r>
      <w:r w:rsidR="00F706D5">
        <w:rPr>
          <w:rFonts w:ascii="Times New Roman" w:hAnsi="Times New Roman"/>
          <w:sz w:val="24"/>
          <w:szCs w:val="24"/>
          <w:lang w:val="en-US"/>
        </w:rPr>
        <w:t xml:space="preserve">Does it mean it is yet another ground for refusal to surrender and, if so, to which category does it belong to (compulsory or discretionary)? </w:t>
      </w:r>
      <w:r>
        <w:rPr>
          <w:rFonts w:ascii="Times New Roman" w:hAnsi="Times New Roman"/>
          <w:sz w:val="24"/>
          <w:szCs w:val="24"/>
          <w:lang w:val="en-US"/>
        </w:rPr>
        <w:t>Furthermore, recitals 12 and 13 of the Preamble give an indication that domestic courts should not surrender individuals on several human rights related grounds. This is an example of a legal cacophony, which demonstrates a number of important phenomena mentioned earlier in the present contribution. Firstly, it proves that the Framework Decision in question was not the finest hour of the EU legislator. It was rushed in the post 9/11 political climate and subject to unanimous approval of the Council. Big compromises usually co</w:t>
      </w:r>
      <w:r w:rsidR="0054102F">
        <w:rPr>
          <w:rFonts w:ascii="Times New Roman" w:hAnsi="Times New Roman"/>
          <w:sz w:val="24"/>
          <w:szCs w:val="24"/>
          <w:lang w:val="en-US"/>
        </w:rPr>
        <w:t xml:space="preserve">me at a </w:t>
      </w:r>
      <w:r>
        <w:rPr>
          <w:rFonts w:ascii="Times New Roman" w:hAnsi="Times New Roman"/>
          <w:sz w:val="24"/>
          <w:szCs w:val="24"/>
          <w:lang w:val="en-US"/>
        </w:rPr>
        <w:t>price and, in this respect, the Framework Decision in question is a fitting evidence. Secondly, it also exemplifies the quagmires of competing loyalties that the domestic judges are exposed to. On the one hand, they have the domestic Constitution</w:t>
      </w:r>
      <w:r w:rsidR="00917A66">
        <w:rPr>
          <w:rFonts w:ascii="Times New Roman" w:hAnsi="Times New Roman"/>
          <w:sz w:val="24"/>
          <w:szCs w:val="24"/>
          <w:lang w:val="en-US"/>
        </w:rPr>
        <w:t>s</w:t>
      </w:r>
      <w:r>
        <w:rPr>
          <w:rFonts w:ascii="Times New Roman" w:hAnsi="Times New Roman"/>
          <w:sz w:val="24"/>
          <w:szCs w:val="24"/>
          <w:lang w:val="en-US"/>
        </w:rPr>
        <w:t xml:space="preserve"> and legislation on EAW to apply. On the other hand, as per jurisprudence of the Court of Justice, the interpretation of the latter should take into account the Framework Decision 584/2001/JHA, the jurisprudence of the Court of Justice as well as the Charter of Fundamental Rights. Last but not least, the domestic courts have also to comply with the ECHR and, for instance, the right to fair trial laid down therein. It is against this background that one should look at the </w:t>
      </w:r>
      <w:proofErr w:type="spellStart"/>
      <w:r>
        <w:rPr>
          <w:rFonts w:ascii="Times New Roman" w:hAnsi="Times New Roman"/>
          <w:i/>
          <w:iCs/>
          <w:sz w:val="24"/>
          <w:szCs w:val="24"/>
          <w:lang w:val="en-US"/>
        </w:rPr>
        <w:t>Aranyosi</w:t>
      </w:r>
      <w:proofErr w:type="spellEnd"/>
      <w:r>
        <w:rPr>
          <w:rFonts w:ascii="Times New Roman" w:hAnsi="Times New Roman"/>
          <w:sz w:val="24"/>
          <w:szCs w:val="24"/>
          <w:lang w:val="en-US"/>
        </w:rPr>
        <w:t xml:space="preserve"> </w:t>
      </w:r>
      <w:r w:rsidR="00E43FE3" w:rsidRPr="00E43FE3">
        <w:rPr>
          <w:rFonts w:ascii="Times New Roman" w:hAnsi="Times New Roman"/>
          <w:i/>
          <w:sz w:val="24"/>
          <w:szCs w:val="24"/>
          <w:lang w:val="en-US"/>
        </w:rPr>
        <w:t xml:space="preserve">and </w:t>
      </w:r>
      <w:proofErr w:type="spellStart"/>
      <w:r w:rsidR="00E43FE3" w:rsidRPr="00E43FE3">
        <w:rPr>
          <w:rFonts w:ascii="Times New Roman" w:hAnsi="Times New Roman"/>
          <w:i/>
          <w:sz w:val="24"/>
          <w:szCs w:val="24"/>
          <w:lang w:val="en-US"/>
        </w:rPr>
        <w:t>Căldăraru</w:t>
      </w:r>
      <w:proofErr w:type="spellEnd"/>
      <w:r w:rsidR="00E43FE3" w:rsidRPr="00E43FE3">
        <w:rPr>
          <w:rFonts w:ascii="Times New Roman" w:hAnsi="Times New Roman"/>
          <w:i/>
          <w:sz w:val="24"/>
          <w:szCs w:val="24"/>
          <w:lang w:val="en-US"/>
        </w:rPr>
        <w:t xml:space="preserve"> </w:t>
      </w:r>
      <w:r>
        <w:rPr>
          <w:rFonts w:ascii="Times New Roman" w:hAnsi="Times New Roman"/>
          <w:sz w:val="24"/>
          <w:szCs w:val="24"/>
          <w:lang w:val="en-US"/>
        </w:rPr>
        <w:t xml:space="preserve">line of cases. </w:t>
      </w:r>
    </w:p>
    <w:p w14:paraId="42F541AC" w14:textId="77777777" w:rsidR="004E2F3A" w:rsidRDefault="004E2F3A">
      <w:pPr>
        <w:pStyle w:val="Default"/>
        <w:rPr>
          <w:rFonts w:ascii="Times New Roman" w:eastAsia="Times New Roman" w:hAnsi="Times New Roman" w:cs="Times New Roman"/>
          <w:sz w:val="24"/>
          <w:szCs w:val="24"/>
        </w:rPr>
      </w:pPr>
    </w:p>
    <w:p w14:paraId="55E52F63" w14:textId="0A0162A0" w:rsidR="004E2F3A" w:rsidRDefault="00810306">
      <w:pPr>
        <w:pStyle w:val="Default"/>
        <w:rPr>
          <w:rFonts w:ascii="Times New Roman" w:eastAsia="Times New Roman" w:hAnsi="Times New Roman" w:cs="Times New Roman"/>
          <w:b/>
          <w:bCs/>
          <w:sz w:val="24"/>
          <w:szCs w:val="24"/>
        </w:rPr>
      </w:pPr>
      <w:r>
        <w:rPr>
          <w:rFonts w:ascii="Times New Roman" w:hAnsi="Times New Roman"/>
          <w:b/>
          <w:bCs/>
          <w:sz w:val="24"/>
          <w:szCs w:val="24"/>
          <w:lang w:val="en-US"/>
        </w:rPr>
        <w:t xml:space="preserve">3. </w:t>
      </w:r>
      <w:proofErr w:type="spellStart"/>
      <w:r>
        <w:rPr>
          <w:rFonts w:ascii="Times New Roman" w:hAnsi="Times New Roman"/>
          <w:b/>
          <w:bCs/>
          <w:i/>
          <w:iCs/>
          <w:sz w:val="24"/>
          <w:szCs w:val="24"/>
          <w:lang w:val="en-US"/>
        </w:rPr>
        <w:t>Aranyosi</w:t>
      </w:r>
      <w:proofErr w:type="spellEnd"/>
      <w:r>
        <w:rPr>
          <w:rFonts w:ascii="Times New Roman" w:hAnsi="Times New Roman"/>
          <w:b/>
          <w:bCs/>
          <w:i/>
          <w:iCs/>
          <w:sz w:val="24"/>
          <w:szCs w:val="24"/>
          <w:lang w:val="en-US"/>
        </w:rPr>
        <w:t xml:space="preserve"> </w:t>
      </w:r>
      <w:r w:rsidR="00E43FE3" w:rsidRPr="00E43FE3">
        <w:rPr>
          <w:rFonts w:ascii="Times New Roman" w:hAnsi="Times New Roman"/>
          <w:b/>
          <w:bCs/>
          <w:i/>
          <w:iCs/>
          <w:sz w:val="24"/>
          <w:szCs w:val="24"/>
          <w:lang w:val="en-US"/>
        </w:rPr>
        <w:t xml:space="preserve">and </w:t>
      </w:r>
      <w:proofErr w:type="spellStart"/>
      <w:r w:rsidR="00E43FE3" w:rsidRPr="00E43FE3">
        <w:rPr>
          <w:rFonts w:ascii="Times New Roman" w:hAnsi="Times New Roman"/>
          <w:b/>
          <w:bCs/>
          <w:i/>
          <w:iCs/>
          <w:sz w:val="24"/>
          <w:szCs w:val="24"/>
          <w:lang w:val="en-US"/>
        </w:rPr>
        <w:t>Căldăraru</w:t>
      </w:r>
      <w:proofErr w:type="spellEnd"/>
      <w:r w:rsidR="00E43FE3" w:rsidRPr="00E43FE3">
        <w:rPr>
          <w:rFonts w:ascii="Times New Roman" w:hAnsi="Times New Roman"/>
          <w:b/>
          <w:bCs/>
          <w:i/>
          <w:iCs/>
          <w:sz w:val="24"/>
          <w:szCs w:val="24"/>
          <w:lang w:val="en-US"/>
        </w:rPr>
        <w:t xml:space="preserve"> </w:t>
      </w:r>
      <w:r>
        <w:rPr>
          <w:rFonts w:ascii="Times New Roman" w:hAnsi="Times New Roman"/>
          <w:b/>
          <w:bCs/>
          <w:sz w:val="24"/>
          <w:szCs w:val="24"/>
          <w:lang w:val="en-US"/>
        </w:rPr>
        <w:t xml:space="preserve">and follow-up </w:t>
      </w:r>
    </w:p>
    <w:p w14:paraId="5457C2E1" w14:textId="77777777" w:rsidR="004E2F3A" w:rsidRDefault="00810306">
      <w:pPr>
        <w:pStyle w:val="Default"/>
        <w:rPr>
          <w:rFonts w:ascii="Times New Roman" w:eastAsia="Times New Roman" w:hAnsi="Times New Roman" w:cs="Times New Roman"/>
          <w:b/>
          <w:bCs/>
          <w:sz w:val="24"/>
          <w:szCs w:val="24"/>
        </w:rPr>
      </w:pPr>
      <w:r>
        <w:rPr>
          <w:rFonts w:ascii="Times New Roman" w:hAnsi="Times New Roman"/>
          <w:b/>
          <w:bCs/>
          <w:sz w:val="24"/>
          <w:szCs w:val="24"/>
          <w:lang w:val="en-US"/>
        </w:rPr>
        <w:t>3.1. Introduction</w:t>
      </w:r>
    </w:p>
    <w:p w14:paraId="45DC0A61" w14:textId="77777777" w:rsidR="004E2F3A" w:rsidRDefault="004E2F3A">
      <w:pPr>
        <w:pStyle w:val="Default"/>
        <w:rPr>
          <w:rFonts w:ascii="Times New Roman" w:eastAsia="Times New Roman" w:hAnsi="Times New Roman" w:cs="Times New Roman"/>
          <w:sz w:val="24"/>
          <w:szCs w:val="24"/>
        </w:rPr>
      </w:pPr>
    </w:p>
    <w:p w14:paraId="25870082" w14:textId="404CE737" w:rsidR="004E2F3A" w:rsidRDefault="009912D8">
      <w:pPr>
        <w:pStyle w:val="Default"/>
        <w:jc w:val="both"/>
        <w:rPr>
          <w:rFonts w:ascii="Times New Roman" w:eastAsia="Times New Roman" w:hAnsi="Times New Roman" w:cs="Times New Roman"/>
          <w:sz w:val="24"/>
          <w:szCs w:val="24"/>
        </w:rPr>
      </w:pPr>
      <w:r w:rsidRPr="009912D8">
        <w:rPr>
          <w:rFonts w:ascii="Times New Roman" w:hAnsi="Times New Roman"/>
          <w:iCs/>
          <w:sz w:val="24"/>
          <w:szCs w:val="24"/>
          <w:lang w:val="en-US"/>
        </w:rPr>
        <w:t xml:space="preserve">Case </w:t>
      </w:r>
      <w:proofErr w:type="spellStart"/>
      <w:r w:rsidR="00810306">
        <w:rPr>
          <w:rFonts w:ascii="Times New Roman" w:hAnsi="Times New Roman"/>
          <w:i/>
          <w:iCs/>
          <w:sz w:val="24"/>
          <w:szCs w:val="24"/>
          <w:lang w:val="en-US"/>
        </w:rPr>
        <w:t>Aranyosi</w:t>
      </w:r>
      <w:proofErr w:type="spellEnd"/>
      <w:r w:rsidR="00810306">
        <w:rPr>
          <w:rFonts w:ascii="Times New Roman" w:hAnsi="Times New Roman"/>
          <w:sz w:val="24"/>
          <w:szCs w:val="24"/>
          <w:lang w:val="en-US"/>
        </w:rPr>
        <w:t xml:space="preserve"> </w:t>
      </w:r>
      <w:r>
        <w:rPr>
          <w:rFonts w:ascii="Times New Roman" w:hAnsi="Times New Roman"/>
          <w:i/>
          <w:iCs/>
          <w:sz w:val="24"/>
          <w:szCs w:val="24"/>
        </w:rPr>
        <w:t xml:space="preserve">and </w:t>
      </w:r>
      <w:proofErr w:type="spellStart"/>
      <w:r>
        <w:rPr>
          <w:rFonts w:ascii="Times New Roman" w:hAnsi="Times New Roman"/>
          <w:i/>
          <w:iCs/>
          <w:sz w:val="24"/>
          <w:szCs w:val="24"/>
        </w:rPr>
        <w:t>Căldăraru</w:t>
      </w:r>
      <w:proofErr w:type="spellEnd"/>
      <w:r>
        <w:rPr>
          <w:rFonts w:ascii="Times New Roman" w:hAnsi="Times New Roman"/>
          <w:sz w:val="24"/>
          <w:szCs w:val="24"/>
          <w:lang w:val="en-US"/>
        </w:rPr>
        <w:t xml:space="preserve"> </w:t>
      </w:r>
      <w:r w:rsidR="00810306">
        <w:rPr>
          <w:rFonts w:ascii="Times New Roman" w:hAnsi="Times New Roman"/>
          <w:sz w:val="24"/>
          <w:szCs w:val="24"/>
          <w:lang w:val="en-US"/>
        </w:rPr>
        <w:t xml:space="preserve">was </w:t>
      </w:r>
      <w:r w:rsidR="00D52091">
        <w:rPr>
          <w:rFonts w:ascii="Times New Roman" w:hAnsi="Times New Roman"/>
          <w:sz w:val="24"/>
          <w:szCs w:val="24"/>
          <w:lang w:val="en-US"/>
        </w:rPr>
        <w:t xml:space="preserve">- </w:t>
      </w:r>
      <w:r w:rsidR="00810306">
        <w:rPr>
          <w:rFonts w:ascii="Times New Roman" w:hAnsi="Times New Roman"/>
          <w:sz w:val="24"/>
          <w:szCs w:val="24"/>
          <w:lang w:val="en-US"/>
        </w:rPr>
        <w:t xml:space="preserve">no doubt </w:t>
      </w:r>
      <w:r w:rsidR="00D52091">
        <w:rPr>
          <w:rFonts w:ascii="Times New Roman" w:hAnsi="Times New Roman"/>
          <w:sz w:val="24"/>
          <w:szCs w:val="24"/>
          <w:lang w:val="en-US"/>
        </w:rPr>
        <w:t xml:space="preserve">- </w:t>
      </w:r>
      <w:r w:rsidR="00810306">
        <w:rPr>
          <w:rFonts w:ascii="Times New Roman" w:hAnsi="Times New Roman"/>
          <w:sz w:val="24"/>
          <w:szCs w:val="24"/>
          <w:lang w:val="en-US"/>
        </w:rPr>
        <w:t xml:space="preserve">a turning point. Prior to the judgment of the Court of Justice several national courts refused to surrender individuals on the human rights </w:t>
      </w:r>
      <w:r w:rsidR="00DE1581">
        <w:rPr>
          <w:rFonts w:ascii="Times New Roman" w:hAnsi="Times New Roman"/>
          <w:sz w:val="24"/>
          <w:szCs w:val="24"/>
          <w:lang w:val="en-US"/>
        </w:rPr>
        <w:t>grounds</w:t>
      </w:r>
      <w:r w:rsidR="00810306">
        <w:rPr>
          <w:rFonts w:ascii="Times New Roman" w:hAnsi="Times New Roman"/>
          <w:sz w:val="24"/>
          <w:szCs w:val="24"/>
          <w:lang w:val="en-US"/>
        </w:rPr>
        <w:t>. Furthermore, the German Constitutional Court conducted its Constitutional identity review</w:t>
      </w:r>
      <w:r w:rsidR="00D52091">
        <w:rPr>
          <w:rFonts w:ascii="Times New Roman" w:hAnsi="Times New Roman"/>
          <w:sz w:val="24"/>
          <w:szCs w:val="24"/>
          <w:lang w:val="en-US"/>
        </w:rPr>
        <w:t>,</w:t>
      </w:r>
      <w:r w:rsidR="00810306">
        <w:rPr>
          <w:rFonts w:ascii="Times New Roman" w:hAnsi="Times New Roman"/>
          <w:sz w:val="24"/>
          <w:szCs w:val="24"/>
          <w:lang w:val="en-US"/>
        </w:rPr>
        <w:t xml:space="preserve"> whereby it sent strong signals into the legal stratosphere.</w:t>
      </w:r>
      <w:r w:rsidR="00810306">
        <w:rPr>
          <w:rFonts w:ascii="Times New Roman" w:eastAsia="Times New Roman" w:hAnsi="Times New Roman" w:cs="Times New Roman"/>
          <w:sz w:val="24"/>
          <w:szCs w:val="24"/>
          <w:vertAlign w:val="superscript"/>
        </w:rPr>
        <w:footnoteReference w:id="34"/>
      </w:r>
      <w:r w:rsidR="00810306">
        <w:rPr>
          <w:rFonts w:ascii="Times New Roman" w:hAnsi="Times New Roman"/>
          <w:sz w:val="24"/>
          <w:szCs w:val="24"/>
          <w:lang w:val="en-US"/>
        </w:rPr>
        <w:t xml:space="preserve"> Inevitably, the matter in question has eventually reached the Court of Justice </w:t>
      </w:r>
      <w:r w:rsidR="00810306">
        <w:rPr>
          <w:rFonts w:ascii="Times New Roman" w:hAnsi="Times New Roman"/>
          <w:i/>
          <w:iCs/>
          <w:sz w:val="24"/>
          <w:szCs w:val="24"/>
          <w:lang w:val="en-US"/>
        </w:rPr>
        <w:t>qua</w:t>
      </w:r>
      <w:r w:rsidR="00810306">
        <w:rPr>
          <w:rFonts w:ascii="Times New Roman" w:hAnsi="Times New Roman"/>
          <w:sz w:val="24"/>
          <w:szCs w:val="24"/>
          <w:lang w:val="en-US"/>
        </w:rPr>
        <w:t xml:space="preserve"> the preliminary ruling procedure.</w:t>
      </w:r>
      <w:r w:rsidR="00FF1B39">
        <w:rPr>
          <w:rStyle w:val="FootnoteReference"/>
          <w:rFonts w:ascii="Times New Roman" w:hAnsi="Times New Roman"/>
          <w:sz w:val="24"/>
          <w:szCs w:val="24"/>
          <w:lang w:val="en-US"/>
        </w:rPr>
        <w:footnoteReference w:id="35"/>
      </w:r>
      <w:r w:rsidR="00810306">
        <w:rPr>
          <w:rFonts w:ascii="Times New Roman" w:hAnsi="Times New Roman"/>
          <w:sz w:val="24"/>
          <w:szCs w:val="24"/>
          <w:lang w:val="en-US"/>
        </w:rPr>
        <w:t xml:space="preserve"> As it is frequently the case with </w:t>
      </w:r>
      <w:r w:rsidR="00F76037">
        <w:rPr>
          <w:rFonts w:ascii="Times New Roman" w:hAnsi="Times New Roman"/>
          <w:sz w:val="24"/>
          <w:szCs w:val="24"/>
          <w:lang w:val="en-US"/>
        </w:rPr>
        <w:t>landmark</w:t>
      </w:r>
      <w:r w:rsidR="00810306">
        <w:rPr>
          <w:rFonts w:ascii="Times New Roman" w:hAnsi="Times New Roman"/>
          <w:sz w:val="24"/>
          <w:szCs w:val="24"/>
          <w:lang w:val="en-US"/>
        </w:rPr>
        <w:t xml:space="preserve"> and groundbreaking judgments of the Court, further references from national courts have followed. </w:t>
      </w:r>
      <w:r w:rsidR="00F76037">
        <w:rPr>
          <w:rFonts w:ascii="Times New Roman" w:hAnsi="Times New Roman"/>
          <w:sz w:val="24"/>
          <w:szCs w:val="24"/>
          <w:lang w:val="en-US"/>
        </w:rPr>
        <w:t xml:space="preserve">Cases C-216/18PPU </w:t>
      </w:r>
      <w:r w:rsidR="00F76037">
        <w:rPr>
          <w:rFonts w:ascii="Times New Roman" w:hAnsi="Times New Roman"/>
          <w:i/>
          <w:iCs/>
          <w:sz w:val="24"/>
          <w:szCs w:val="24"/>
          <w:lang w:val="en-US"/>
        </w:rPr>
        <w:t>LM</w:t>
      </w:r>
      <w:r w:rsidR="00F76037" w:rsidRPr="000A768D">
        <w:rPr>
          <w:rStyle w:val="FootnoteReference"/>
          <w:rFonts w:ascii="Times New Roman" w:hAnsi="Times New Roman"/>
          <w:iCs/>
          <w:sz w:val="24"/>
          <w:szCs w:val="24"/>
          <w:lang w:val="en-US"/>
        </w:rPr>
        <w:footnoteReference w:id="36"/>
      </w:r>
      <w:r w:rsidR="00F76037">
        <w:rPr>
          <w:rFonts w:ascii="Times New Roman" w:hAnsi="Times New Roman"/>
          <w:sz w:val="24"/>
          <w:szCs w:val="24"/>
          <w:lang w:val="en-US"/>
        </w:rPr>
        <w:t>,</w:t>
      </w:r>
      <w:r w:rsidR="00810306">
        <w:rPr>
          <w:rFonts w:ascii="Times New Roman" w:hAnsi="Times New Roman"/>
          <w:sz w:val="24"/>
          <w:szCs w:val="24"/>
          <w:lang w:val="en-US"/>
        </w:rPr>
        <w:t xml:space="preserve"> C-220/18PPU </w:t>
      </w:r>
      <w:r w:rsidR="00810306">
        <w:rPr>
          <w:rFonts w:ascii="Times New Roman" w:hAnsi="Times New Roman"/>
          <w:i/>
          <w:iCs/>
          <w:sz w:val="24"/>
          <w:szCs w:val="24"/>
          <w:lang w:val="en-US"/>
        </w:rPr>
        <w:t>ML</w:t>
      </w:r>
      <w:r w:rsidR="000A768D" w:rsidRPr="000A768D">
        <w:rPr>
          <w:rStyle w:val="FootnoteReference"/>
          <w:rFonts w:ascii="Times New Roman" w:hAnsi="Times New Roman"/>
          <w:iCs/>
          <w:sz w:val="24"/>
          <w:szCs w:val="24"/>
          <w:lang w:val="en-US"/>
        </w:rPr>
        <w:footnoteReference w:id="37"/>
      </w:r>
      <w:r w:rsidR="004B0CFD">
        <w:rPr>
          <w:rFonts w:ascii="Times New Roman" w:hAnsi="Times New Roman"/>
          <w:sz w:val="24"/>
          <w:szCs w:val="24"/>
          <w:lang w:val="en-US"/>
        </w:rPr>
        <w:t>,</w:t>
      </w:r>
      <w:r w:rsidR="00810306">
        <w:rPr>
          <w:rFonts w:ascii="Times New Roman" w:hAnsi="Times New Roman"/>
          <w:sz w:val="24"/>
          <w:szCs w:val="24"/>
          <w:lang w:val="en-US"/>
        </w:rPr>
        <w:t xml:space="preserve"> </w:t>
      </w:r>
      <w:r w:rsidR="004B0CFD">
        <w:rPr>
          <w:rFonts w:ascii="Times New Roman" w:hAnsi="Times New Roman"/>
          <w:sz w:val="24"/>
          <w:szCs w:val="24"/>
          <w:lang w:val="en-US"/>
        </w:rPr>
        <w:t>and C-</w:t>
      </w:r>
      <w:r w:rsidR="000A768D">
        <w:rPr>
          <w:rFonts w:ascii="Times New Roman" w:hAnsi="Times New Roman"/>
          <w:sz w:val="24"/>
          <w:szCs w:val="24"/>
          <w:lang w:val="en-US"/>
        </w:rPr>
        <w:t xml:space="preserve">327/18PPU </w:t>
      </w:r>
      <w:r w:rsidR="000A768D" w:rsidRPr="000A768D">
        <w:rPr>
          <w:rFonts w:ascii="Times New Roman" w:hAnsi="Times New Roman"/>
          <w:i/>
          <w:sz w:val="24"/>
          <w:szCs w:val="24"/>
          <w:lang w:val="en-US"/>
        </w:rPr>
        <w:t>RO</w:t>
      </w:r>
      <w:r w:rsidR="000A768D" w:rsidRPr="000A768D">
        <w:rPr>
          <w:rStyle w:val="FootnoteReference"/>
          <w:rFonts w:ascii="Times New Roman" w:hAnsi="Times New Roman"/>
          <w:sz w:val="24"/>
          <w:szCs w:val="24"/>
          <w:lang w:val="en-US"/>
        </w:rPr>
        <w:footnoteReference w:id="38"/>
      </w:r>
      <w:r w:rsidR="000A768D">
        <w:rPr>
          <w:rFonts w:ascii="Times New Roman" w:hAnsi="Times New Roman"/>
          <w:sz w:val="24"/>
          <w:szCs w:val="24"/>
          <w:lang w:val="en-US"/>
        </w:rPr>
        <w:t xml:space="preserve"> </w:t>
      </w:r>
      <w:r w:rsidR="00810306">
        <w:rPr>
          <w:rFonts w:ascii="Times New Roman" w:hAnsi="Times New Roman"/>
          <w:sz w:val="24"/>
          <w:szCs w:val="24"/>
          <w:lang w:val="en-US"/>
        </w:rPr>
        <w:t xml:space="preserve">are presented in turn. </w:t>
      </w:r>
    </w:p>
    <w:p w14:paraId="472B49D4" w14:textId="77777777" w:rsidR="004E2F3A" w:rsidRDefault="004E2F3A">
      <w:pPr>
        <w:pStyle w:val="Default"/>
        <w:rPr>
          <w:rFonts w:ascii="Times New Roman" w:eastAsia="Times New Roman" w:hAnsi="Times New Roman" w:cs="Times New Roman"/>
          <w:sz w:val="24"/>
          <w:szCs w:val="24"/>
        </w:rPr>
      </w:pPr>
    </w:p>
    <w:p w14:paraId="62BC123F" w14:textId="79F6527F" w:rsidR="004E2F3A" w:rsidRDefault="00810306">
      <w:pPr>
        <w:pStyle w:val="Default"/>
        <w:rPr>
          <w:rFonts w:ascii="Times New Roman" w:eastAsia="Times New Roman" w:hAnsi="Times New Roman" w:cs="Times New Roman"/>
          <w:b/>
          <w:bCs/>
          <w:sz w:val="24"/>
          <w:szCs w:val="24"/>
        </w:rPr>
      </w:pPr>
      <w:r>
        <w:rPr>
          <w:rFonts w:ascii="Times New Roman" w:hAnsi="Times New Roman"/>
          <w:b/>
          <w:bCs/>
          <w:sz w:val="24"/>
          <w:szCs w:val="24"/>
          <w:lang w:val="en-US"/>
        </w:rPr>
        <w:t xml:space="preserve">3.2. </w:t>
      </w:r>
      <w:proofErr w:type="spellStart"/>
      <w:r>
        <w:rPr>
          <w:rFonts w:ascii="Times New Roman" w:hAnsi="Times New Roman"/>
          <w:b/>
          <w:bCs/>
          <w:i/>
          <w:iCs/>
          <w:sz w:val="24"/>
          <w:szCs w:val="24"/>
          <w:lang w:val="en-US"/>
        </w:rPr>
        <w:t>Aranyosi</w:t>
      </w:r>
      <w:proofErr w:type="spellEnd"/>
      <w:r w:rsidR="005C5C17">
        <w:rPr>
          <w:rFonts w:ascii="Times New Roman" w:hAnsi="Times New Roman"/>
          <w:b/>
          <w:bCs/>
          <w:i/>
          <w:iCs/>
          <w:sz w:val="24"/>
          <w:szCs w:val="24"/>
          <w:lang w:val="en-US"/>
        </w:rPr>
        <w:t xml:space="preserve"> </w:t>
      </w:r>
      <w:r w:rsidR="005C5C17" w:rsidRPr="005C5C17">
        <w:rPr>
          <w:rFonts w:ascii="Times New Roman" w:hAnsi="Times New Roman"/>
          <w:b/>
          <w:bCs/>
          <w:i/>
          <w:iCs/>
          <w:sz w:val="24"/>
          <w:szCs w:val="24"/>
          <w:lang w:val="en-US"/>
        </w:rPr>
        <w:t xml:space="preserve">and </w:t>
      </w:r>
      <w:proofErr w:type="spellStart"/>
      <w:r w:rsidR="005C5C17" w:rsidRPr="005C5C17">
        <w:rPr>
          <w:rFonts w:ascii="Times New Roman" w:hAnsi="Times New Roman"/>
          <w:b/>
          <w:bCs/>
          <w:i/>
          <w:iCs/>
          <w:sz w:val="24"/>
          <w:szCs w:val="24"/>
          <w:lang w:val="en-US"/>
        </w:rPr>
        <w:t>Căldăraru</w:t>
      </w:r>
      <w:proofErr w:type="spellEnd"/>
      <w:r>
        <w:rPr>
          <w:rFonts w:ascii="Times New Roman" w:hAnsi="Times New Roman"/>
          <w:b/>
          <w:bCs/>
          <w:sz w:val="24"/>
          <w:szCs w:val="24"/>
          <w:lang w:val="en-US"/>
        </w:rPr>
        <w:t>: can we trust your detention conditions?</w:t>
      </w:r>
    </w:p>
    <w:p w14:paraId="6414D89F" w14:textId="50AC9388" w:rsidR="004E2F3A" w:rsidRPr="0046536C" w:rsidRDefault="0046536C">
      <w:pPr>
        <w:pStyle w:val="Default"/>
        <w:rPr>
          <w:rFonts w:ascii="Times New Roman" w:eastAsia="Times New Roman" w:hAnsi="Times New Roman" w:cs="Times New Roman"/>
          <w:i/>
          <w:sz w:val="24"/>
          <w:szCs w:val="24"/>
        </w:rPr>
      </w:pPr>
      <w:r w:rsidRPr="0046536C">
        <w:rPr>
          <w:rFonts w:ascii="Times New Roman" w:eastAsia="Times New Roman" w:hAnsi="Times New Roman" w:cs="Times New Roman"/>
          <w:i/>
          <w:sz w:val="24"/>
          <w:szCs w:val="24"/>
        </w:rPr>
        <w:t>3.2.1. Introduction</w:t>
      </w:r>
    </w:p>
    <w:p w14:paraId="07A49CC7" w14:textId="77777777" w:rsidR="0046536C" w:rsidRDefault="0046536C">
      <w:pPr>
        <w:pStyle w:val="Default"/>
        <w:rPr>
          <w:rFonts w:ascii="Times New Roman" w:eastAsia="Times New Roman" w:hAnsi="Times New Roman" w:cs="Times New Roman"/>
          <w:sz w:val="24"/>
          <w:szCs w:val="24"/>
        </w:rPr>
      </w:pPr>
    </w:p>
    <w:p w14:paraId="0EC72E85" w14:textId="6E760D41" w:rsidR="00601F88" w:rsidRDefault="007E211F">
      <w:pPr>
        <w:pStyle w:val="Default"/>
        <w:jc w:val="both"/>
        <w:rPr>
          <w:rFonts w:ascii="Times New Roman" w:hAnsi="Times New Roman"/>
          <w:sz w:val="24"/>
          <w:szCs w:val="24"/>
          <w:lang w:val="en-US"/>
        </w:rPr>
      </w:pPr>
      <w:r>
        <w:rPr>
          <w:rFonts w:ascii="Times New Roman" w:hAnsi="Times New Roman"/>
          <w:sz w:val="24"/>
          <w:szCs w:val="24"/>
          <w:lang w:val="en-US"/>
        </w:rPr>
        <w:t xml:space="preserve">For </w:t>
      </w:r>
      <w:r w:rsidR="005373DD">
        <w:rPr>
          <w:rFonts w:ascii="Times New Roman" w:hAnsi="Times New Roman"/>
          <w:sz w:val="24"/>
          <w:szCs w:val="24"/>
          <w:lang w:val="en-US"/>
        </w:rPr>
        <w:t xml:space="preserve">the </w:t>
      </w:r>
      <w:r w:rsidR="00B348CA">
        <w:rPr>
          <w:rFonts w:ascii="Times New Roman" w:hAnsi="Times New Roman"/>
          <w:sz w:val="24"/>
          <w:szCs w:val="24"/>
          <w:lang w:val="en-US"/>
        </w:rPr>
        <w:t>domestic</w:t>
      </w:r>
      <w:r>
        <w:rPr>
          <w:rFonts w:ascii="Times New Roman" w:hAnsi="Times New Roman"/>
          <w:sz w:val="24"/>
          <w:szCs w:val="24"/>
          <w:lang w:val="en-US"/>
        </w:rPr>
        <w:t xml:space="preserve"> courts the</w:t>
      </w:r>
      <w:r w:rsidR="00810306">
        <w:rPr>
          <w:rFonts w:ascii="Times New Roman" w:hAnsi="Times New Roman"/>
          <w:sz w:val="24"/>
          <w:szCs w:val="24"/>
          <w:lang w:val="en-US"/>
        </w:rPr>
        <w:t xml:space="preserve"> judgment in </w:t>
      </w:r>
      <w:r w:rsidR="009006BD">
        <w:rPr>
          <w:rFonts w:ascii="Times New Roman" w:hAnsi="Times New Roman"/>
          <w:sz w:val="24"/>
          <w:szCs w:val="24"/>
          <w:lang w:val="en-US"/>
        </w:rPr>
        <w:t xml:space="preserve">joint </w:t>
      </w:r>
      <w:r w:rsidR="00810306">
        <w:rPr>
          <w:rFonts w:ascii="Times New Roman" w:hAnsi="Times New Roman"/>
          <w:sz w:val="24"/>
          <w:szCs w:val="24"/>
          <w:lang w:val="en-US"/>
        </w:rPr>
        <w:t xml:space="preserve">cases </w:t>
      </w:r>
      <w:proofErr w:type="spellStart"/>
      <w:r w:rsidR="00810306">
        <w:rPr>
          <w:rFonts w:ascii="Times New Roman" w:hAnsi="Times New Roman"/>
          <w:i/>
          <w:iCs/>
          <w:sz w:val="24"/>
          <w:szCs w:val="24"/>
          <w:lang w:val="en-US"/>
        </w:rPr>
        <w:t>Aranyosi</w:t>
      </w:r>
      <w:proofErr w:type="spellEnd"/>
      <w:r w:rsidR="00810306">
        <w:rPr>
          <w:rFonts w:ascii="Times New Roman" w:hAnsi="Times New Roman"/>
          <w:sz w:val="24"/>
          <w:szCs w:val="24"/>
          <w:lang w:val="en-US"/>
        </w:rPr>
        <w:t xml:space="preserve"> and </w:t>
      </w:r>
      <w:proofErr w:type="spellStart"/>
      <w:r w:rsidR="00810306">
        <w:rPr>
          <w:rFonts w:ascii="Times New Roman" w:hAnsi="Times New Roman"/>
          <w:i/>
          <w:iCs/>
          <w:sz w:val="24"/>
          <w:szCs w:val="24"/>
        </w:rPr>
        <w:t>Căldăraru</w:t>
      </w:r>
      <w:proofErr w:type="spellEnd"/>
      <w:r w:rsidR="00810306">
        <w:rPr>
          <w:rFonts w:ascii="Times New Roman" w:hAnsi="Times New Roman"/>
          <w:sz w:val="24"/>
          <w:szCs w:val="24"/>
          <w:lang w:val="en-US"/>
        </w:rPr>
        <w:t xml:space="preserve"> offers a </w:t>
      </w:r>
      <w:r w:rsidR="00DE1581">
        <w:rPr>
          <w:rFonts w:ascii="Times New Roman" w:hAnsi="Times New Roman"/>
          <w:sz w:val="24"/>
          <w:szCs w:val="24"/>
          <w:lang w:val="en-US"/>
        </w:rPr>
        <w:t>very much</w:t>
      </w:r>
      <w:r w:rsidR="00810306">
        <w:rPr>
          <w:rFonts w:ascii="Times New Roman" w:hAnsi="Times New Roman"/>
          <w:sz w:val="24"/>
          <w:szCs w:val="24"/>
          <w:lang w:val="en-US"/>
        </w:rPr>
        <w:t xml:space="preserve"> overdue clarification of how the national judges should proceed when faced with argumentation and evidence proving that at the receiving end the person being subject to EAW may be exposed inhuman treatment at detention </w:t>
      </w:r>
      <w:r w:rsidR="00191B7A">
        <w:rPr>
          <w:rFonts w:ascii="Times New Roman" w:hAnsi="Times New Roman"/>
          <w:sz w:val="24"/>
          <w:szCs w:val="24"/>
          <w:lang w:val="en-US"/>
        </w:rPr>
        <w:t>facility(</w:t>
      </w:r>
      <w:proofErr w:type="spellStart"/>
      <w:r w:rsidR="00191B7A">
        <w:rPr>
          <w:rFonts w:ascii="Times New Roman" w:hAnsi="Times New Roman"/>
          <w:sz w:val="24"/>
          <w:szCs w:val="24"/>
          <w:lang w:val="en-US"/>
        </w:rPr>
        <w:t>ies</w:t>
      </w:r>
      <w:proofErr w:type="spellEnd"/>
      <w:r w:rsidR="00191B7A">
        <w:rPr>
          <w:rFonts w:ascii="Times New Roman" w:hAnsi="Times New Roman"/>
          <w:sz w:val="24"/>
          <w:szCs w:val="24"/>
          <w:lang w:val="en-US"/>
        </w:rPr>
        <w:t>)</w:t>
      </w:r>
      <w:r w:rsidR="00810306">
        <w:rPr>
          <w:rFonts w:ascii="Times New Roman" w:hAnsi="Times New Roman"/>
          <w:sz w:val="24"/>
          <w:szCs w:val="24"/>
          <w:lang w:val="en-US"/>
        </w:rPr>
        <w:t>.</w:t>
      </w:r>
      <w:r w:rsidR="005C0FC6">
        <w:rPr>
          <w:rStyle w:val="FootnoteReference"/>
          <w:rFonts w:ascii="Times New Roman" w:hAnsi="Times New Roman"/>
          <w:sz w:val="24"/>
          <w:szCs w:val="24"/>
          <w:lang w:val="en-US"/>
        </w:rPr>
        <w:footnoteReference w:id="39"/>
      </w:r>
      <w:r w:rsidR="00810306">
        <w:rPr>
          <w:rFonts w:ascii="Times New Roman" w:hAnsi="Times New Roman"/>
          <w:sz w:val="24"/>
          <w:szCs w:val="24"/>
          <w:lang w:val="en-US"/>
        </w:rPr>
        <w:t xml:space="preserve"> </w:t>
      </w:r>
      <w:r w:rsidR="008B0493">
        <w:rPr>
          <w:rFonts w:ascii="Times New Roman" w:hAnsi="Times New Roman"/>
          <w:sz w:val="24"/>
          <w:szCs w:val="24"/>
          <w:lang w:val="en-US"/>
        </w:rPr>
        <w:t xml:space="preserve">The Court has ruled that </w:t>
      </w:r>
      <w:r w:rsidR="00AF2C34">
        <w:rPr>
          <w:rFonts w:ascii="Times New Roman" w:hAnsi="Times New Roman"/>
          <w:sz w:val="24"/>
          <w:szCs w:val="24"/>
          <w:lang w:val="en-US"/>
        </w:rPr>
        <w:t xml:space="preserve">even though the system is based on presumption of mutual trust and mutual recognition, </w:t>
      </w:r>
      <w:r w:rsidR="008B0493">
        <w:rPr>
          <w:rFonts w:ascii="Times New Roman" w:hAnsi="Times New Roman"/>
          <w:sz w:val="24"/>
          <w:szCs w:val="24"/>
          <w:lang w:val="en-US"/>
        </w:rPr>
        <w:t>in extraordinary circumstances, and subject to a number of preliminary procedural step</w:t>
      </w:r>
      <w:r w:rsidR="00292BE7">
        <w:rPr>
          <w:rFonts w:ascii="Times New Roman" w:hAnsi="Times New Roman"/>
          <w:sz w:val="24"/>
          <w:szCs w:val="24"/>
          <w:lang w:val="en-US"/>
        </w:rPr>
        <w:t xml:space="preserve">s, a domestic court may decide </w:t>
      </w:r>
      <w:r w:rsidR="00281B97">
        <w:rPr>
          <w:rFonts w:ascii="Times New Roman" w:hAnsi="Times New Roman"/>
          <w:sz w:val="24"/>
          <w:szCs w:val="24"/>
          <w:lang w:val="en-US"/>
        </w:rPr>
        <w:t>to bring the surrender procedure to an end.</w:t>
      </w:r>
      <w:r w:rsidR="00281B97">
        <w:rPr>
          <w:rStyle w:val="FootnoteReference"/>
          <w:rFonts w:ascii="Times New Roman" w:hAnsi="Times New Roman"/>
          <w:sz w:val="24"/>
          <w:szCs w:val="24"/>
          <w:lang w:val="en-US"/>
        </w:rPr>
        <w:footnoteReference w:id="40"/>
      </w:r>
      <w:r w:rsidR="00601F88">
        <w:rPr>
          <w:rFonts w:ascii="Times New Roman" w:hAnsi="Times New Roman"/>
          <w:sz w:val="24"/>
          <w:szCs w:val="24"/>
          <w:lang w:val="en-US"/>
        </w:rPr>
        <w:t xml:space="preserve"> </w:t>
      </w:r>
      <w:r w:rsidR="00E14506">
        <w:rPr>
          <w:rFonts w:ascii="Times New Roman" w:hAnsi="Times New Roman"/>
          <w:sz w:val="24"/>
          <w:szCs w:val="24"/>
          <w:lang w:val="en-US"/>
        </w:rPr>
        <w:t>This is</w:t>
      </w:r>
      <w:r w:rsidR="006429A9" w:rsidRPr="006429A9">
        <w:rPr>
          <w:rFonts w:ascii="Times New Roman" w:hAnsi="Times New Roman"/>
          <w:sz w:val="24"/>
          <w:szCs w:val="24"/>
          <w:lang w:val="en-US"/>
        </w:rPr>
        <w:t xml:space="preserve"> </w:t>
      </w:r>
      <w:r w:rsidR="006429A9">
        <w:rPr>
          <w:rFonts w:ascii="Times New Roman" w:hAnsi="Times New Roman"/>
          <w:sz w:val="24"/>
          <w:szCs w:val="24"/>
          <w:lang w:val="en-US"/>
        </w:rPr>
        <w:t>not</w:t>
      </w:r>
      <w:r w:rsidR="00E14506">
        <w:rPr>
          <w:rFonts w:ascii="Times New Roman" w:hAnsi="Times New Roman"/>
          <w:sz w:val="24"/>
          <w:szCs w:val="24"/>
          <w:lang w:val="en-US"/>
        </w:rPr>
        <w:t>, however,</w:t>
      </w:r>
      <w:r w:rsidR="007010E0">
        <w:rPr>
          <w:rFonts w:ascii="Times New Roman" w:hAnsi="Times New Roman"/>
          <w:sz w:val="24"/>
          <w:szCs w:val="24"/>
          <w:lang w:val="en-US"/>
        </w:rPr>
        <w:t xml:space="preserve"> </w:t>
      </w:r>
      <w:r w:rsidR="006429A9">
        <w:rPr>
          <w:rFonts w:ascii="Times New Roman" w:hAnsi="Times New Roman"/>
          <w:sz w:val="24"/>
          <w:szCs w:val="24"/>
          <w:lang w:val="en-US"/>
        </w:rPr>
        <w:t xml:space="preserve">by any stretch of imagination a </w:t>
      </w:r>
      <w:r w:rsidR="007010E0">
        <w:rPr>
          <w:rFonts w:ascii="Times New Roman" w:hAnsi="Times New Roman"/>
          <w:sz w:val="24"/>
          <w:szCs w:val="24"/>
          <w:lang w:val="en-US"/>
        </w:rPr>
        <w:t>straight-forward</w:t>
      </w:r>
      <w:r w:rsidR="006429A9">
        <w:rPr>
          <w:rFonts w:ascii="Times New Roman" w:hAnsi="Times New Roman"/>
          <w:sz w:val="24"/>
          <w:szCs w:val="24"/>
          <w:lang w:val="en-US"/>
        </w:rPr>
        <w:t xml:space="preserve"> affair</w:t>
      </w:r>
      <w:r w:rsidR="00E14506">
        <w:rPr>
          <w:rFonts w:ascii="Times New Roman" w:hAnsi="Times New Roman"/>
          <w:sz w:val="24"/>
          <w:szCs w:val="24"/>
          <w:lang w:val="en-US"/>
        </w:rPr>
        <w:t xml:space="preserve">. </w:t>
      </w:r>
      <w:r w:rsidR="003326D0">
        <w:rPr>
          <w:rFonts w:ascii="Times New Roman" w:hAnsi="Times New Roman"/>
          <w:sz w:val="24"/>
          <w:szCs w:val="24"/>
          <w:lang w:val="en-US"/>
        </w:rPr>
        <w:t xml:space="preserve">From the point of view of national judges at least three aspects of this </w:t>
      </w:r>
      <w:r w:rsidR="00B348CA">
        <w:rPr>
          <w:rFonts w:ascii="Times New Roman" w:hAnsi="Times New Roman"/>
          <w:sz w:val="24"/>
          <w:szCs w:val="24"/>
          <w:lang w:val="en-US"/>
        </w:rPr>
        <w:t>decis</w:t>
      </w:r>
      <w:r w:rsidR="00D46463">
        <w:rPr>
          <w:rFonts w:ascii="Times New Roman" w:hAnsi="Times New Roman"/>
          <w:sz w:val="24"/>
          <w:szCs w:val="24"/>
          <w:lang w:val="en-US"/>
        </w:rPr>
        <w:t>i</w:t>
      </w:r>
      <w:r w:rsidR="00B348CA">
        <w:rPr>
          <w:rFonts w:ascii="Times New Roman" w:hAnsi="Times New Roman"/>
          <w:sz w:val="24"/>
          <w:szCs w:val="24"/>
          <w:lang w:val="en-US"/>
        </w:rPr>
        <w:t>on</w:t>
      </w:r>
      <w:r w:rsidR="003326D0">
        <w:rPr>
          <w:rFonts w:ascii="Times New Roman" w:hAnsi="Times New Roman"/>
          <w:sz w:val="24"/>
          <w:szCs w:val="24"/>
          <w:lang w:val="en-US"/>
        </w:rPr>
        <w:t xml:space="preserve"> are problematic and merit attention in this </w:t>
      </w:r>
      <w:r w:rsidR="004D73B4">
        <w:rPr>
          <w:rFonts w:ascii="Times New Roman" w:hAnsi="Times New Roman"/>
          <w:sz w:val="24"/>
          <w:szCs w:val="24"/>
          <w:lang w:val="en-US"/>
        </w:rPr>
        <w:t>article</w:t>
      </w:r>
      <w:r w:rsidR="003326D0">
        <w:rPr>
          <w:rFonts w:ascii="Times New Roman" w:hAnsi="Times New Roman"/>
          <w:sz w:val="24"/>
          <w:szCs w:val="24"/>
          <w:lang w:val="en-US"/>
        </w:rPr>
        <w:t xml:space="preserve">. </w:t>
      </w:r>
    </w:p>
    <w:p w14:paraId="0A50673B" w14:textId="77777777" w:rsidR="00601F88" w:rsidRDefault="00601F88">
      <w:pPr>
        <w:pStyle w:val="Default"/>
        <w:jc w:val="both"/>
        <w:rPr>
          <w:rFonts w:ascii="Times New Roman" w:hAnsi="Times New Roman"/>
          <w:sz w:val="24"/>
          <w:szCs w:val="24"/>
          <w:lang w:val="en-US"/>
        </w:rPr>
      </w:pPr>
    </w:p>
    <w:p w14:paraId="73D88FBC" w14:textId="1977F5D7" w:rsidR="00B91771" w:rsidRDefault="00C049BA">
      <w:pPr>
        <w:pStyle w:val="Default"/>
        <w:jc w:val="both"/>
        <w:rPr>
          <w:rFonts w:ascii="Times New Roman" w:hAnsi="Times New Roman"/>
          <w:sz w:val="24"/>
          <w:szCs w:val="24"/>
          <w:lang w:val="en-US"/>
        </w:rPr>
      </w:pPr>
      <w:r>
        <w:rPr>
          <w:rFonts w:ascii="Times New Roman" w:hAnsi="Times New Roman"/>
          <w:sz w:val="24"/>
          <w:szCs w:val="24"/>
          <w:lang w:val="en-US"/>
        </w:rPr>
        <w:t>To begin with</w:t>
      </w:r>
      <w:r w:rsidR="00B348CA">
        <w:rPr>
          <w:rFonts w:ascii="Times New Roman" w:hAnsi="Times New Roman"/>
          <w:sz w:val="24"/>
          <w:szCs w:val="24"/>
          <w:lang w:val="en-US"/>
        </w:rPr>
        <w:t xml:space="preserve">, the </w:t>
      </w:r>
      <w:r w:rsidR="009C7D06">
        <w:rPr>
          <w:rFonts w:ascii="Times New Roman" w:hAnsi="Times New Roman"/>
          <w:sz w:val="24"/>
          <w:szCs w:val="24"/>
          <w:lang w:val="en-US"/>
        </w:rPr>
        <w:t xml:space="preserve">already mentioned </w:t>
      </w:r>
      <w:r w:rsidR="00D46463">
        <w:rPr>
          <w:rFonts w:ascii="Times New Roman" w:hAnsi="Times New Roman"/>
          <w:sz w:val="24"/>
          <w:szCs w:val="24"/>
          <w:lang w:val="en-US"/>
        </w:rPr>
        <w:t xml:space="preserve">legal </w:t>
      </w:r>
      <w:r w:rsidR="00B348CA">
        <w:rPr>
          <w:rFonts w:ascii="Times New Roman" w:hAnsi="Times New Roman"/>
          <w:sz w:val="24"/>
          <w:szCs w:val="24"/>
          <w:lang w:val="en-US"/>
        </w:rPr>
        <w:t xml:space="preserve">quagmire </w:t>
      </w:r>
      <w:r>
        <w:rPr>
          <w:rFonts w:ascii="Times New Roman" w:hAnsi="Times New Roman"/>
          <w:sz w:val="24"/>
          <w:szCs w:val="24"/>
          <w:lang w:val="en-US"/>
        </w:rPr>
        <w:t>of relationship between Articles 3-4a (grounds for refusal to surre</w:t>
      </w:r>
      <w:r w:rsidR="00F747C3">
        <w:rPr>
          <w:rFonts w:ascii="Times New Roman" w:hAnsi="Times New Roman"/>
          <w:sz w:val="24"/>
          <w:szCs w:val="24"/>
          <w:lang w:val="en-US"/>
        </w:rPr>
        <w:t xml:space="preserve">nder), </w:t>
      </w:r>
      <w:r>
        <w:rPr>
          <w:rFonts w:ascii="Times New Roman" w:hAnsi="Times New Roman"/>
          <w:sz w:val="24"/>
          <w:szCs w:val="24"/>
          <w:lang w:val="en-US"/>
        </w:rPr>
        <w:t>Article 1(3) (fundamental rights) of the EAW</w:t>
      </w:r>
      <w:r w:rsidR="00AF2C34">
        <w:rPr>
          <w:rFonts w:ascii="Times New Roman" w:hAnsi="Times New Roman"/>
          <w:sz w:val="24"/>
          <w:szCs w:val="24"/>
          <w:lang w:val="en-US"/>
        </w:rPr>
        <w:t xml:space="preserve"> </w:t>
      </w:r>
      <w:r w:rsidR="00D46463">
        <w:rPr>
          <w:rFonts w:ascii="Times New Roman" w:hAnsi="Times New Roman"/>
          <w:sz w:val="24"/>
          <w:szCs w:val="24"/>
          <w:lang w:val="en-US"/>
        </w:rPr>
        <w:t xml:space="preserve">Framework Decision </w:t>
      </w:r>
      <w:r w:rsidR="00F747C3">
        <w:rPr>
          <w:rFonts w:ascii="Times New Roman" w:hAnsi="Times New Roman"/>
          <w:sz w:val="24"/>
          <w:szCs w:val="24"/>
          <w:lang w:val="en-US"/>
        </w:rPr>
        <w:t xml:space="preserve">and Article 4 of the Charter of Fundamental Rights </w:t>
      </w:r>
      <w:r w:rsidR="00AF2C34">
        <w:rPr>
          <w:rFonts w:ascii="Times New Roman" w:hAnsi="Times New Roman"/>
          <w:sz w:val="24"/>
          <w:szCs w:val="24"/>
          <w:lang w:val="en-US"/>
        </w:rPr>
        <w:t xml:space="preserve">comes to the fore. </w:t>
      </w:r>
      <w:r w:rsidR="00533CD2">
        <w:rPr>
          <w:rFonts w:ascii="Times New Roman" w:hAnsi="Times New Roman"/>
          <w:sz w:val="24"/>
          <w:szCs w:val="24"/>
          <w:lang w:val="en-US"/>
        </w:rPr>
        <w:t>The key question is: do</w:t>
      </w:r>
      <w:r w:rsidR="00F747C3">
        <w:rPr>
          <w:rFonts w:ascii="Times New Roman" w:hAnsi="Times New Roman"/>
          <w:sz w:val="24"/>
          <w:szCs w:val="24"/>
          <w:lang w:val="en-US"/>
        </w:rPr>
        <w:t xml:space="preserve"> we have now an </w:t>
      </w:r>
      <w:r w:rsidR="00533CD2">
        <w:rPr>
          <w:rFonts w:ascii="Times New Roman" w:hAnsi="Times New Roman"/>
          <w:sz w:val="24"/>
          <w:szCs w:val="24"/>
          <w:lang w:val="en-US"/>
        </w:rPr>
        <w:t>additional ground for</w:t>
      </w:r>
      <w:r w:rsidR="00720938">
        <w:rPr>
          <w:rFonts w:ascii="Times New Roman" w:hAnsi="Times New Roman"/>
          <w:sz w:val="24"/>
          <w:szCs w:val="24"/>
          <w:lang w:val="en-US"/>
        </w:rPr>
        <w:t xml:space="preserve"> refusal to</w:t>
      </w:r>
      <w:r w:rsidR="00533CD2">
        <w:rPr>
          <w:rFonts w:ascii="Times New Roman" w:hAnsi="Times New Roman"/>
          <w:sz w:val="24"/>
          <w:szCs w:val="24"/>
          <w:lang w:val="en-US"/>
        </w:rPr>
        <w:t xml:space="preserve"> surrender? </w:t>
      </w:r>
      <w:r w:rsidR="005D07B3">
        <w:rPr>
          <w:rFonts w:ascii="Times New Roman" w:hAnsi="Times New Roman"/>
          <w:sz w:val="24"/>
          <w:szCs w:val="24"/>
          <w:lang w:val="en-US"/>
        </w:rPr>
        <w:t>I</w:t>
      </w:r>
      <w:r w:rsidR="003A6EEC">
        <w:rPr>
          <w:rFonts w:ascii="Times New Roman" w:hAnsi="Times New Roman"/>
          <w:sz w:val="24"/>
          <w:szCs w:val="24"/>
          <w:lang w:val="en-US"/>
        </w:rPr>
        <w:t xml:space="preserve">f so, why </w:t>
      </w:r>
      <w:r w:rsidR="00973C00">
        <w:rPr>
          <w:rFonts w:ascii="Times New Roman" w:hAnsi="Times New Roman"/>
          <w:sz w:val="24"/>
          <w:szCs w:val="24"/>
          <w:lang w:val="en-US"/>
        </w:rPr>
        <w:t>fundamental rights were</w:t>
      </w:r>
      <w:r w:rsidR="003A6EEC">
        <w:rPr>
          <w:rFonts w:ascii="Times New Roman" w:hAnsi="Times New Roman"/>
          <w:sz w:val="24"/>
          <w:szCs w:val="24"/>
          <w:lang w:val="en-US"/>
        </w:rPr>
        <w:t xml:space="preserve"> included neither in the catalogue of mandatory grounds, nor on the</w:t>
      </w:r>
      <w:r w:rsidR="009C7D06">
        <w:rPr>
          <w:rFonts w:ascii="Times New Roman" w:hAnsi="Times New Roman"/>
          <w:sz w:val="24"/>
          <w:szCs w:val="24"/>
          <w:lang w:val="en-US"/>
        </w:rPr>
        <w:t xml:space="preserve"> list of discretionary grounds as good law-making principles would dictate.</w:t>
      </w:r>
      <w:r w:rsidR="00956D70">
        <w:rPr>
          <w:rFonts w:ascii="Times New Roman" w:hAnsi="Times New Roman"/>
          <w:sz w:val="24"/>
          <w:szCs w:val="24"/>
          <w:lang w:val="en-US"/>
        </w:rPr>
        <w:t xml:space="preserve"> </w:t>
      </w:r>
      <w:r w:rsidR="005D07B3">
        <w:rPr>
          <w:rFonts w:ascii="Times New Roman" w:hAnsi="Times New Roman"/>
          <w:sz w:val="24"/>
          <w:szCs w:val="24"/>
          <w:lang w:val="en-US"/>
        </w:rPr>
        <w:t>It is very instructive to look</w:t>
      </w:r>
      <w:r w:rsidR="00B91771">
        <w:rPr>
          <w:rFonts w:ascii="Times New Roman" w:hAnsi="Times New Roman"/>
          <w:sz w:val="24"/>
          <w:szCs w:val="24"/>
          <w:lang w:val="en-US"/>
        </w:rPr>
        <w:t xml:space="preserve"> how the Court of Justice framed this issue and what it means for the national authorities in charge of executing </w:t>
      </w:r>
      <w:r w:rsidR="005D07B3">
        <w:rPr>
          <w:rFonts w:ascii="Times New Roman" w:hAnsi="Times New Roman"/>
          <w:sz w:val="24"/>
          <w:szCs w:val="24"/>
          <w:lang w:val="en-US"/>
        </w:rPr>
        <w:t xml:space="preserve">the </w:t>
      </w:r>
      <w:r w:rsidR="00B91771">
        <w:rPr>
          <w:rFonts w:ascii="Times New Roman" w:hAnsi="Times New Roman"/>
          <w:sz w:val="24"/>
          <w:szCs w:val="24"/>
          <w:lang w:val="en-US"/>
        </w:rPr>
        <w:t xml:space="preserve">European Arrest Warrants. </w:t>
      </w:r>
      <w:r w:rsidR="00365905">
        <w:rPr>
          <w:rFonts w:ascii="Times New Roman" w:hAnsi="Times New Roman"/>
          <w:sz w:val="24"/>
          <w:szCs w:val="24"/>
          <w:lang w:val="en-US"/>
        </w:rPr>
        <w:t xml:space="preserve">Secondly, </w:t>
      </w:r>
      <w:r w:rsidR="00D850CB">
        <w:rPr>
          <w:rFonts w:ascii="Times New Roman" w:hAnsi="Times New Roman"/>
          <w:sz w:val="24"/>
          <w:szCs w:val="24"/>
          <w:lang w:val="en-US"/>
        </w:rPr>
        <w:t xml:space="preserve">the procedural </w:t>
      </w:r>
      <w:r w:rsidR="00D850CB" w:rsidRPr="00D850CB">
        <w:rPr>
          <w:rFonts w:ascii="Times New Roman" w:hAnsi="Times New Roman"/>
          <w:i/>
          <w:sz w:val="24"/>
          <w:szCs w:val="24"/>
          <w:lang w:val="en-US"/>
        </w:rPr>
        <w:t>modus operandi</w:t>
      </w:r>
      <w:r w:rsidR="00D850CB">
        <w:rPr>
          <w:rFonts w:ascii="Times New Roman" w:hAnsi="Times New Roman"/>
          <w:sz w:val="24"/>
          <w:szCs w:val="24"/>
          <w:lang w:val="en-US"/>
        </w:rPr>
        <w:t xml:space="preserve"> developed by the Court of Justice is plausible at first sight. When in doubt, the national court should </w:t>
      </w:r>
      <w:r w:rsidR="00D519DF">
        <w:rPr>
          <w:rFonts w:ascii="Times New Roman" w:hAnsi="Times New Roman"/>
          <w:sz w:val="24"/>
          <w:szCs w:val="24"/>
          <w:lang w:val="en-US"/>
        </w:rPr>
        <w:t xml:space="preserve">first make a general determination of the situation at the receiving and, should that be necessary, also </w:t>
      </w:r>
      <w:r w:rsidR="00D850CB">
        <w:rPr>
          <w:rFonts w:ascii="Times New Roman" w:hAnsi="Times New Roman"/>
          <w:sz w:val="24"/>
          <w:szCs w:val="24"/>
          <w:lang w:val="en-US"/>
        </w:rPr>
        <w:t>seek a clarification from its counterpart in the requesting country. The key question</w:t>
      </w:r>
      <w:r w:rsidR="00EC4EEE">
        <w:rPr>
          <w:rFonts w:ascii="Times New Roman" w:hAnsi="Times New Roman"/>
          <w:sz w:val="24"/>
          <w:szCs w:val="24"/>
          <w:lang w:val="en-US"/>
        </w:rPr>
        <w:t>s</w:t>
      </w:r>
      <w:r w:rsidR="00D850CB">
        <w:rPr>
          <w:rFonts w:ascii="Times New Roman" w:hAnsi="Times New Roman"/>
          <w:sz w:val="24"/>
          <w:szCs w:val="24"/>
          <w:lang w:val="en-US"/>
        </w:rPr>
        <w:t xml:space="preserve">, however, </w:t>
      </w:r>
      <w:r w:rsidR="00EC4EEE">
        <w:rPr>
          <w:rFonts w:ascii="Times New Roman" w:hAnsi="Times New Roman"/>
          <w:sz w:val="24"/>
          <w:szCs w:val="24"/>
          <w:lang w:val="en-US"/>
        </w:rPr>
        <w:t>are</w:t>
      </w:r>
      <w:r w:rsidR="00D850CB">
        <w:rPr>
          <w:rFonts w:ascii="Times New Roman" w:hAnsi="Times New Roman"/>
          <w:sz w:val="24"/>
          <w:szCs w:val="24"/>
          <w:lang w:val="en-US"/>
        </w:rPr>
        <w:t xml:space="preserve"> what kind of information </w:t>
      </w:r>
      <w:r w:rsidR="00CC3A80">
        <w:rPr>
          <w:rFonts w:ascii="Times New Roman" w:hAnsi="Times New Roman"/>
          <w:sz w:val="24"/>
          <w:szCs w:val="24"/>
          <w:lang w:val="en-US"/>
        </w:rPr>
        <w:t>may be</w:t>
      </w:r>
      <w:r w:rsidR="00EC4EEE">
        <w:rPr>
          <w:rFonts w:ascii="Times New Roman" w:hAnsi="Times New Roman"/>
          <w:sz w:val="24"/>
          <w:szCs w:val="24"/>
          <w:lang w:val="en-US"/>
        </w:rPr>
        <w:t xml:space="preserve"> used in the first instance, and, in turn, what sort of clarification may</w:t>
      </w:r>
      <w:r w:rsidR="00CC3A80">
        <w:rPr>
          <w:rFonts w:ascii="Times New Roman" w:hAnsi="Times New Roman"/>
          <w:sz w:val="24"/>
          <w:szCs w:val="24"/>
          <w:lang w:val="en-US"/>
        </w:rPr>
        <w:t xml:space="preserve"> </w:t>
      </w:r>
      <w:proofErr w:type="gramStart"/>
      <w:r w:rsidR="00CC3A80">
        <w:rPr>
          <w:rFonts w:ascii="Times New Roman" w:hAnsi="Times New Roman"/>
          <w:sz w:val="24"/>
          <w:szCs w:val="24"/>
          <w:lang w:val="en-US"/>
        </w:rPr>
        <w:t>requested</w:t>
      </w:r>
      <w:proofErr w:type="gramEnd"/>
      <w:r w:rsidR="00EC4EEE">
        <w:rPr>
          <w:rFonts w:ascii="Times New Roman" w:hAnsi="Times New Roman"/>
          <w:sz w:val="24"/>
          <w:szCs w:val="24"/>
          <w:lang w:val="en-US"/>
        </w:rPr>
        <w:t xml:space="preserve"> from a counterpart in another Member State</w:t>
      </w:r>
      <w:r w:rsidR="00CC3A80">
        <w:rPr>
          <w:rFonts w:ascii="Times New Roman" w:hAnsi="Times New Roman"/>
          <w:sz w:val="24"/>
          <w:szCs w:val="24"/>
          <w:lang w:val="en-US"/>
        </w:rPr>
        <w:t xml:space="preserve"> and how comprehensive it should be. Thirdly, </w:t>
      </w:r>
      <w:r w:rsidR="00411A78">
        <w:rPr>
          <w:rFonts w:ascii="Times New Roman" w:hAnsi="Times New Roman"/>
          <w:sz w:val="24"/>
          <w:szCs w:val="24"/>
          <w:lang w:val="en-US"/>
        </w:rPr>
        <w:t xml:space="preserve">under what circumstances the national court </w:t>
      </w:r>
      <w:r w:rsidR="0070744F">
        <w:rPr>
          <w:rFonts w:ascii="Times New Roman" w:hAnsi="Times New Roman"/>
          <w:sz w:val="24"/>
          <w:szCs w:val="24"/>
          <w:lang w:val="en-US"/>
        </w:rPr>
        <w:t xml:space="preserve">can refuse to surrender, or, as euphemistically put by the Court of Justice, may </w:t>
      </w:r>
      <w:r w:rsidR="00A047F2">
        <w:rPr>
          <w:rFonts w:ascii="Times New Roman" w:hAnsi="Times New Roman"/>
          <w:sz w:val="24"/>
          <w:szCs w:val="24"/>
          <w:lang w:val="en-US"/>
        </w:rPr>
        <w:t>bring the surrender procedure to an end.</w:t>
      </w:r>
    </w:p>
    <w:p w14:paraId="55972E9B" w14:textId="511F4600" w:rsidR="00A047F2" w:rsidRDefault="00A047F2">
      <w:pPr>
        <w:pStyle w:val="Default"/>
        <w:jc w:val="both"/>
        <w:rPr>
          <w:rFonts w:ascii="Times New Roman" w:hAnsi="Times New Roman"/>
          <w:sz w:val="24"/>
          <w:szCs w:val="24"/>
          <w:lang w:val="en-US"/>
        </w:rPr>
      </w:pPr>
    </w:p>
    <w:p w14:paraId="37CD4152" w14:textId="7E696068" w:rsidR="0046536C" w:rsidRPr="005E5912" w:rsidRDefault="006175C1">
      <w:pPr>
        <w:pStyle w:val="Default"/>
        <w:jc w:val="both"/>
        <w:rPr>
          <w:rFonts w:ascii="Times New Roman" w:hAnsi="Times New Roman"/>
          <w:i/>
          <w:sz w:val="24"/>
          <w:szCs w:val="24"/>
          <w:lang w:val="en-US"/>
        </w:rPr>
      </w:pPr>
      <w:r w:rsidRPr="005E5912">
        <w:rPr>
          <w:rFonts w:ascii="Times New Roman" w:hAnsi="Times New Roman"/>
          <w:i/>
          <w:sz w:val="24"/>
          <w:szCs w:val="24"/>
          <w:lang w:val="en-US"/>
        </w:rPr>
        <w:t xml:space="preserve">3.2.2. </w:t>
      </w:r>
      <w:proofErr w:type="spellStart"/>
      <w:r w:rsidR="005E5912" w:rsidRPr="005E5912">
        <w:rPr>
          <w:rFonts w:ascii="Times New Roman" w:hAnsi="Times New Roman"/>
          <w:i/>
          <w:sz w:val="24"/>
          <w:szCs w:val="24"/>
          <w:lang w:val="en-US"/>
        </w:rPr>
        <w:t>Aranyosi</w:t>
      </w:r>
      <w:proofErr w:type="spellEnd"/>
      <w:r w:rsidR="005E5912" w:rsidRPr="005E5912">
        <w:rPr>
          <w:rFonts w:ascii="Times New Roman" w:hAnsi="Times New Roman"/>
          <w:i/>
          <w:sz w:val="24"/>
          <w:szCs w:val="24"/>
          <w:lang w:val="en-US"/>
        </w:rPr>
        <w:t xml:space="preserve"> and </w:t>
      </w:r>
      <w:proofErr w:type="spellStart"/>
      <w:r w:rsidR="005E5912" w:rsidRPr="005E5912">
        <w:rPr>
          <w:rFonts w:ascii="Times New Roman" w:hAnsi="Times New Roman"/>
          <w:i/>
          <w:sz w:val="24"/>
          <w:szCs w:val="24"/>
          <w:lang w:val="en-US"/>
        </w:rPr>
        <w:t>Căldăraru</w:t>
      </w:r>
      <w:proofErr w:type="spellEnd"/>
      <w:r w:rsidR="005E5912">
        <w:rPr>
          <w:rFonts w:ascii="Times New Roman" w:hAnsi="Times New Roman"/>
          <w:i/>
          <w:sz w:val="24"/>
          <w:szCs w:val="24"/>
          <w:lang w:val="en-US"/>
        </w:rPr>
        <w:t>:</w:t>
      </w:r>
      <w:r w:rsidR="005E5912" w:rsidRPr="005E5912">
        <w:rPr>
          <w:rFonts w:ascii="Times New Roman" w:hAnsi="Times New Roman"/>
          <w:i/>
          <w:sz w:val="24"/>
          <w:szCs w:val="24"/>
          <w:lang w:val="en-US"/>
        </w:rPr>
        <w:t xml:space="preserve"> </w:t>
      </w:r>
      <w:r w:rsidR="005E5912">
        <w:rPr>
          <w:rFonts w:ascii="Times New Roman" w:hAnsi="Times New Roman"/>
          <w:i/>
          <w:sz w:val="24"/>
          <w:szCs w:val="24"/>
          <w:lang w:val="en-US"/>
        </w:rPr>
        <w:t>a</w:t>
      </w:r>
      <w:r w:rsidRPr="005E5912">
        <w:rPr>
          <w:rFonts w:ascii="Times New Roman" w:hAnsi="Times New Roman"/>
          <w:i/>
          <w:sz w:val="24"/>
          <w:szCs w:val="24"/>
          <w:lang w:val="en-US"/>
        </w:rPr>
        <w:t xml:space="preserve"> new ground for non-execution of European Arrest Warrant?</w:t>
      </w:r>
    </w:p>
    <w:p w14:paraId="0686B333" w14:textId="77777777" w:rsidR="0046536C" w:rsidRDefault="0046536C">
      <w:pPr>
        <w:pStyle w:val="Default"/>
        <w:jc w:val="both"/>
        <w:rPr>
          <w:rFonts w:ascii="Times New Roman" w:hAnsi="Times New Roman"/>
          <w:sz w:val="24"/>
          <w:szCs w:val="24"/>
          <w:lang w:val="en-US"/>
        </w:rPr>
      </w:pPr>
    </w:p>
    <w:p w14:paraId="6C9F59D0" w14:textId="1FADBDD7" w:rsidR="003237B4" w:rsidRDefault="0042082C">
      <w:pPr>
        <w:pStyle w:val="Default"/>
        <w:jc w:val="both"/>
        <w:rPr>
          <w:rFonts w:ascii="Times New Roman" w:hAnsi="Times New Roman"/>
          <w:sz w:val="24"/>
          <w:szCs w:val="24"/>
          <w:lang w:val="en-US"/>
        </w:rPr>
      </w:pPr>
      <w:r>
        <w:rPr>
          <w:rFonts w:ascii="Times New Roman" w:hAnsi="Times New Roman"/>
          <w:sz w:val="24"/>
          <w:szCs w:val="24"/>
          <w:lang w:val="en-US"/>
        </w:rPr>
        <w:t xml:space="preserve">The substantive part of the judgment starts, as one would expect, with a truncated expose covering the foundations of the mutual </w:t>
      </w:r>
      <w:r w:rsidR="004C2962">
        <w:rPr>
          <w:rFonts w:ascii="Times New Roman" w:hAnsi="Times New Roman"/>
          <w:sz w:val="24"/>
          <w:szCs w:val="24"/>
          <w:lang w:val="en-US"/>
        </w:rPr>
        <w:t xml:space="preserve">recognition in criminal matters. The picture drawn by the judges at </w:t>
      </w:r>
      <w:proofErr w:type="spellStart"/>
      <w:r w:rsidR="004C2962">
        <w:rPr>
          <w:rFonts w:ascii="Times New Roman" w:hAnsi="Times New Roman"/>
          <w:sz w:val="24"/>
          <w:szCs w:val="24"/>
          <w:lang w:val="en-US"/>
        </w:rPr>
        <w:t>Kirchberg</w:t>
      </w:r>
      <w:proofErr w:type="spellEnd"/>
      <w:r w:rsidR="004C2962">
        <w:rPr>
          <w:rFonts w:ascii="Times New Roman" w:hAnsi="Times New Roman"/>
          <w:sz w:val="24"/>
          <w:szCs w:val="24"/>
          <w:lang w:val="en-US"/>
        </w:rPr>
        <w:t xml:space="preserve"> seems to</w:t>
      </w:r>
      <w:r w:rsidR="00130715">
        <w:rPr>
          <w:rFonts w:ascii="Times New Roman" w:hAnsi="Times New Roman"/>
          <w:sz w:val="24"/>
          <w:szCs w:val="24"/>
          <w:lang w:val="en-US"/>
        </w:rPr>
        <w:t xml:space="preserve"> be clear: the system is based o</w:t>
      </w:r>
      <w:r w:rsidR="004C2962">
        <w:rPr>
          <w:rFonts w:ascii="Times New Roman" w:hAnsi="Times New Roman"/>
          <w:sz w:val="24"/>
          <w:szCs w:val="24"/>
          <w:lang w:val="en-US"/>
        </w:rPr>
        <w:t xml:space="preserve">n mutual trust </w:t>
      </w:r>
      <w:r w:rsidR="00263F76">
        <w:rPr>
          <w:rFonts w:ascii="Times New Roman" w:hAnsi="Times New Roman"/>
          <w:sz w:val="24"/>
          <w:szCs w:val="24"/>
          <w:lang w:val="en-US"/>
        </w:rPr>
        <w:t>and benefits from the presumption that the Member States provide “equivalent and effective protection of the fundamental right recognized at EU level, particularly in the Charter”.</w:t>
      </w:r>
      <w:r w:rsidR="00263F76">
        <w:rPr>
          <w:rStyle w:val="FootnoteReference"/>
          <w:rFonts w:ascii="Times New Roman" w:hAnsi="Times New Roman"/>
          <w:sz w:val="24"/>
          <w:szCs w:val="24"/>
          <w:lang w:val="en-US"/>
        </w:rPr>
        <w:footnoteReference w:id="41"/>
      </w:r>
      <w:r w:rsidR="00263F76">
        <w:rPr>
          <w:rFonts w:ascii="Times New Roman" w:hAnsi="Times New Roman"/>
          <w:sz w:val="24"/>
          <w:szCs w:val="24"/>
          <w:lang w:val="en-US"/>
        </w:rPr>
        <w:t xml:space="preserve"> </w:t>
      </w:r>
      <w:r w:rsidR="00434CC4">
        <w:rPr>
          <w:rFonts w:ascii="Times New Roman" w:hAnsi="Times New Roman"/>
          <w:sz w:val="24"/>
          <w:szCs w:val="24"/>
          <w:lang w:val="en-US"/>
        </w:rPr>
        <w:t>The trouble starts if one reads paragraph 80 of the judgment</w:t>
      </w:r>
      <w:r w:rsidR="00D43026">
        <w:rPr>
          <w:rFonts w:ascii="Times New Roman" w:hAnsi="Times New Roman"/>
          <w:sz w:val="24"/>
          <w:szCs w:val="24"/>
          <w:lang w:val="en-US"/>
        </w:rPr>
        <w:t xml:space="preserve"> in a literal fashion</w:t>
      </w:r>
      <w:r w:rsidR="00434CC4">
        <w:rPr>
          <w:rFonts w:ascii="Times New Roman" w:hAnsi="Times New Roman"/>
          <w:sz w:val="24"/>
          <w:szCs w:val="24"/>
          <w:lang w:val="en-US"/>
        </w:rPr>
        <w:t xml:space="preserve">. The Court emphasizes that </w:t>
      </w:r>
      <w:r w:rsidR="00CD4199">
        <w:rPr>
          <w:rFonts w:ascii="Times New Roman" w:hAnsi="Times New Roman"/>
          <w:sz w:val="24"/>
          <w:szCs w:val="24"/>
          <w:lang w:val="en-US"/>
        </w:rPr>
        <w:t>an authority, which executes a European Arrest Warrant may refuse to do so on grounds “exhaustively listed” in Articles 3, 4-4a of Framework Decision</w:t>
      </w:r>
      <w:r w:rsidR="00276E43">
        <w:rPr>
          <w:rFonts w:ascii="Times New Roman" w:hAnsi="Times New Roman"/>
          <w:sz w:val="24"/>
          <w:szCs w:val="24"/>
          <w:lang w:val="en-US"/>
        </w:rPr>
        <w:t xml:space="preserve"> 584/2002/JHA. The choice of words employed by the Court of Justice makes it unequivocally clear that the list of grounds is </w:t>
      </w:r>
      <w:r w:rsidR="00D43026">
        <w:rPr>
          <w:rFonts w:ascii="Times New Roman" w:hAnsi="Times New Roman"/>
          <w:sz w:val="24"/>
          <w:szCs w:val="24"/>
          <w:lang w:val="en-US"/>
        </w:rPr>
        <w:t xml:space="preserve">exhaustive. To put it differently, it is </w:t>
      </w:r>
      <w:r w:rsidR="00276E43">
        <w:rPr>
          <w:rFonts w:ascii="Times New Roman" w:hAnsi="Times New Roman"/>
          <w:sz w:val="24"/>
          <w:szCs w:val="24"/>
          <w:lang w:val="en-US"/>
        </w:rPr>
        <w:t>the limit. If such a reading were to be correct, it would mean that national authorities may not</w:t>
      </w:r>
      <w:r w:rsidR="00BE46A0">
        <w:rPr>
          <w:rFonts w:ascii="Times New Roman" w:hAnsi="Times New Roman"/>
          <w:sz w:val="24"/>
          <w:szCs w:val="24"/>
          <w:lang w:val="en-US"/>
        </w:rPr>
        <w:t xml:space="preserve">, </w:t>
      </w:r>
      <w:r w:rsidR="00F032D0">
        <w:rPr>
          <w:rFonts w:ascii="Times New Roman" w:hAnsi="Times New Roman"/>
          <w:sz w:val="24"/>
          <w:szCs w:val="24"/>
          <w:lang w:val="en-US"/>
        </w:rPr>
        <w:t xml:space="preserve">at least </w:t>
      </w:r>
      <w:r w:rsidR="00BE46A0">
        <w:rPr>
          <w:rFonts w:ascii="Times New Roman" w:hAnsi="Times New Roman"/>
          <w:sz w:val="24"/>
          <w:szCs w:val="24"/>
          <w:lang w:val="en-US"/>
        </w:rPr>
        <w:t>as per EAW Framework Decision,</w:t>
      </w:r>
      <w:r w:rsidR="00276E43">
        <w:rPr>
          <w:rFonts w:ascii="Times New Roman" w:hAnsi="Times New Roman"/>
          <w:sz w:val="24"/>
          <w:szCs w:val="24"/>
          <w:lang w:val="en-US"/>
        </w:rPr>
        <w:t xml:space="preserve"> refuse to surrender on </w:t>
      </w:r>
      <w:r w:rsidR="00D43026">
        <w:rPr>
          <w:rFonts w:ascii="Times New Roman" w:hAnsi="Times New Roman"/>
          <w:sz w:val="24"/>
          <w:szCs w:val="24"/>
          <w:lang w:val="en-US"/>
        </w:rPr>
        <w:t xml:space="preserve">the </w:t>
      </w:r>
      <w:r w:rsidR="00276E43">
        <w:rPr>
          <w:rFonts w:ascii="Times New Roman" w:hAnsi="Times New Roman"/>
          <w:sz w:val="24"/>
          <w:szCs w:val="24"/>
          <w:lang w:val="en-US"/>
        </w:rPr>
        <w:t>human rights grounds.</w:t>
      </w:r>
      <w:r w:rsidR="008F6B5D">
        <w:rPr>
          <w:rFonts w:ascii="Times New Roman" w:hAnsi="Times New Roman"/>
          <w:sz w:val="24"/>
          <w:szCs w:val="24"/>
          <w:lang w:val="en-US"/>
        </w:rPr>
        <w:t xml:space="preserve"> </w:t>
      </w:r>
      <w:r w:rsidR="0075195B">
        <w:rPr>
          <w:rFonts w:ascii="Times New Roman" w:hAnsi="Times New Roman"/>
          <w:sz w:val="24"/>
          <w:szCs w:val="24"/>
          <w:lang w:val="en-US"/>
        </w:rPr>
        <w:t xml:space="preserve">Then, however, the Court of Justice ventures away from the Framework Decision itself and continues its analysis by putting the </w:t>
      </w:r>
      <w:proofErr w:type="spellStart"/>
      <w:r w:rsidR="0075195B">
        <w:rPr>
          <w:rFonts w:ascii="Times New Roman" w:hAnsi="Times New Roman"/>
          <w:sz w:val="24"/>
          <w:szCs w:val="24"/>
          <w:lang w:val="en-US"/>
        </w:rPr>
        <w:t>centre</w:t>
      </w:r>
      <w:proofErr w:type="spellEnd"/>
      <w:r w:rsidR="0075195B">
        <w:rPr>
          <w:rFonts w:ascii="Times New Roman" w:hAnsi="Times New Roman"/>
          <w:sz w:val="24"/>
          <w:szCs w:val="24"/>
          <w:lang w:val="en-US"/>
        </w:rPr>
        <w:t xml:space="preserve"> of gravity on Article 4 of the Charter of Fundamental Rights.</w:t>
      </w:r>
      <w:r w:rsidR="00003648">
        <w:rPr>
          <w:rStyle w:val="FootnoteReference"/>
          <w:rFonts w:ascii="Times New Roman" w:hAnsi="Times New Roman"/>
          <w:sz w:val="24"/>
          <w:szCs w:val="24"/>
          <w:lang w:val="en-US"/>
        </w:rPr>
        <w:footnoteReference w:id="42"/>
      </w:r>
      <w:r w:rsidR="0075195B">
        <w:rPr>
          <w:rFonts w:ascii="Times New Roman" w:hAnsi="Times New Roman"/>
          <w:sz w:val="24"/>
          <w:szCs w:val="24"/>
          <w:lang w:val="en-US"/>
        </w:rPr>
        <w:t xml:space="preserve"> </w:t>
      </w:r>
      <w:r w:rsidR="00CC5348">
        <w:rPr>
          <w:rFonts w:ascii="Times New Roman" w:hAnsi="Times New Roman"/>
          <w:sz w:val="24"/>
          <w:szCs w:val="24"/>
          <w:lang w:val="en-US"/>
        </w:rPr>
        <w:t xml:space="preserve">In this respect Article 1(3) of the Framework Decision serves as the bridge between these legal acts. </w:t>
      </w:r>
      <w:r w:rsidR="00F032D0">
        <w:rPr>
          <w:rFonts w:ascii="Times New Roman" w:hAnsi="Times New Roman"/>
          <w:sz w:val="24"/>
          <w:szCs w:val="24"/>
          <w:lang w:val="en-US"/>
        </w:rPr>
        <w:t>It provides, that the EAW Framework Decision, does not modify the obligation to respect fundamental rights</w:t>
      </w:r>
      <w:r w:rsidR="007B2126">
        <w:rPr>
          <w:rFonts w:ascii="Times New Roman" w:hAnsi="Times New Roman"/>
          <w:sz w:val="24"/>
          <w:szCs w:val="24"/>
          <w:lang w:val="en-US"/>
        </w:rPr>
        <w:t xml:space="preserve"> </w:t>
      </w:r>
      <w:r w:rsidR="00B97418">
        <w:rPr>
          <w:rFonts w:ascii="Times New Roman" w:hAnsi="Times New Roman"/>
          <w:sz w:val="24"/>
          <w:szCs w:val="24"/>
          <w:lang w:val="en-US"/>
        </w:rPr>
        <w:t>enshrined in Article 6 TEU. This, as clarified by the Court of Justice in the commented case, also comprises the Charter of Fundamental Rights. The judges confirm, in turn, that the Charter applies to the case at hand as application of national provisions</w:t>
      </w:r>
      <w:r w:rsidR="0034277F">
        <w:rPr>
          <w:rFonts w:ascii="Times New Roman" w:hAnsi="Times New Roman"/>
          <w:sz w:val="24"/>
          <w:szCs w:val="24"/>
          <w:lang w:val="en-US"/>
        </w:rPr>
        <w:t xml:space="preserve"> transposing the EAW Framework Decision constitutes implementation of EU law, which - as per Article 51(1) – is </w:t>
      </w:r>
      <w:proofErr w:type="spellStart"/>
      <w:r w:rsidR="0034277F" w:rsidRPr="004C5FFD">
        <w:rPr>
          <w:rFonts w:ascii="Times New Roman" w:hAnsi="Times New Roman"/>
          <w:i/>
          <w:sz w:val="24"/>
          <w:szCs w:val="24"/>
          <w:lang w:val="en-US"/>
        </w:rPr>
        <w:t>conditio</w:t>
      </w:r>
      <w:proofErr w:type="spellEnd"/>
      <w:r w:rsidR="0034277F" w:rsidRPr="004C5FFD">
        <w:rPr>
          <w:rFonts w:ascii="Times New Roman" w:hAnsi="Times New Roman"/>
          <w:i/>
          <w:sz w:val="24"/>
          <w:szCs w:val="24"/>
          <w:lang w:val="en-US"/>
        </w:rPr>
        <w:t xml:space="preserve"> sine qua non</w:t>
      </w:r>
      <w:r w:rsidR="0034277F">
        <w:rPr>
          <w:rFonts w:ascii="Times New Roman" w:hAnsi="Times New Roman"/>
          <w:sz w:val="24"/>
          <w:szCs w:val="24"/>
          <w:lang w:val="en-US"/>
        </w:rPr>
        <w:t xml:space="preserve"> for </w:t>
      </w:r>
      <w:r w:rsidR="004C5FFD">
        <w:rPr>
          <w:rFonts w:ascii="Times New Roman" w:hAnsi="Times New Roman"/>
          <w:sz w:val="24"/>
          <w:szCs w:val="24"/>
          <w:lang w:val="en-US"/>
        </w:rPr>
        <w:t>application of the Charter.</w:t>
      </w:r>
      <w:r w:rsidR="00291A8B">
        <w:rPr>
          <w:rStyle w:val="FootnoteReference"/>
          <w:rFonts w:ascii="Times New Roman" w:hAnsi="Times New Roman"/>
          <w:sz w:val="24"/>
          <w:szCs w:val="24"/>
          <w:lang w:val="en-US"/>
        </w:rPr>
        <w:footnoteReference w:id="43"/>
      </w:r>
      <w:r w:rsidR="00F032D0">
        <w:rPr>
          <w:rFonts w:ascii="Times New Roman" w:hAnsi="Times New Roman"/>
          <w:sz w:val="24"/>
          <w:szCs w:val="24"/>
          <w:lang w:val="en-US"/>
        </w:rPr>
        <w:t xml:space="preserve"> </w:t>
      </w:r>
      <w:r w:rsidR="001E1A20">
        <w:rPr>
          <w:rFonts w:ascii="Times New Roman" w:hAnsi="Times New Roman"/>
          <w:sz w:val="24"/>
          <w:szCs w:val="24"/>
          <w:lang w:val="en-US"/>
        </w:rPr>
        <w:t xml:space="preserve">For a national judge a confusion may allegedly arise from comparative analysis of interpretation of </w:t>
      </w:r>
      <w:r w:rsidR="00F63782">
        <w:rPr>
          <w:rFonts w:ascii="Times New Roman" w:hAnsi="Times New Roman"/>
          <w:sz w:val="24"/>
          <w:szCs w:val="24"/>
          <w:lang w:val="en-US"/>
        </w:rPr>
        <w:t>Article 1(3) of the EAW Framework Decision</w:t>
      </w:r>
      <w:r w:rsidR="001E1A20">
        <w:rPr>
          <w:rFonts w:ascii="Times New Roman" w:hAnsi="Times New Roman"/>
          <w:sz w:val="24"/>
          <w:szCs w:val="24"/>
          <w:lang w:val="en-US"/>
        </w:rPr>
        <w:t xml:space="preserve"> by the Advocate General Bot and the conclusions of the Court.</w:t>
      </w:r>
      <w:r w:rsidR="00883B58">
        <w:rPr>
          <w:rStyle w:val="FootnoteReference"/>
          <w:rFonts w:ascii="Times New Roman" w:hAnsi="Times New Roman"/>
          <w:sz w:val="24"/>
          <w:szCs w:val="24"/>
          <w:lang w:val="en-US"/>
        </w:rPr>
        <w:footnoteReference w:id="44"/>
      </w:r>
      <w:r w:rsidR="001E1A20">
        <w:rPr>
          <w:rFonts w:ascii="Times New Roman" w:hAnsi="Times New Roman"/>
          <w:sz w:val="24"/>
          <w:szCs w:val="24"/>
          <w:lang w:val="en-US"/>
        </w:rPr>
        <w:t xml:space="preserve"> Arguably, it is one of those examples where it would have served national judges if the Court of Justice openly agreed or disagreed with its own advocate general.</w:t>
      </w:r>
      <w:r w:rsidR="000A281B">
        <w:rPr>
          <w:rStyle w:val="FootnoteReference"/>
          <w:rFonts w:ascii="Times New Roman" w:hAnsi="Times New Roman"/>
          <w:sz w:val="24"/>
          <w:szCs w:val="24"/>
          <w:lang w:val="en-US"/>
        </w:rPr>
        <w:footnoteReference w:id="45"/>
      </w:r>
      <w:r w:rsidR="001E1A20">
        <w:rPr>
          <w:rFonts w:ascii="Times New Roman" w:hAnsi="Times New Roman"/>
          <w:sz w:val="24"/>
          <w:szCs w:val="24"/>
          <w:lang w:val="en-US"/>
        </w:rPr>
        <w:t xml:space="preserve"> While Advocate General Bot claimed that the provision in question may not serve </w:t>
      </w:r>
      <w:r w:rsidR="005225BE">
        <w:rPr>
          <w:rFonts w:ascii="Times New Roman" w:hAnsi="Times New Roman"/>
          <w:sz w:val="24"/>
          <w:szCs w:val="24"/>
          <w:lang w:val="en-US"/>
        </w:rPr>
        <w:t xml:space="preserve">as a ground for refusal to surrender, the Court of Justice used it as a vehicle to </w:t>
      </w:r>
      <w:r w:rsidR="004629DF">
        <w:rPr>
          <w:rFonts w:ascii="Times New Roman" w:hAnsi="Times New Roman"/>
          <w:sz w:val="24"/>
          <w:szCs w:val="24"/>
          <w:lang w:val="en-US"/>
        </w:rPr>
        <w:t xml:space="preserve">a </w:t>
      </w:r>
      <w:r w:rsidR="005225BE">
        <w:rPr>
          <w:rFonts w:ascii="Times New Roman" w:hAnsi="Times New Roman"/>
          <w:sz w:val="24"/>
          <w:szCs w:val="24"/>
          <w:lang w:val="en-US"/>
        </w:rPr>
        <w:t>conclusion</w:t>
      </w:r>
      <w:r w:rsidR="004629DF">
        <w:rPr>
          <w:rFonts w:ascii="Times New Roman" w:hAnsi="Times New Roman"/>
          <w:sz w:val="24"/>
          <w:szCs w:val="24"/>
          <w:lang w:val="en-US"/>
        </w:rPr>
        <w:t>,</w:t>
      </w:r>
      <w:r w:rsidR="005225BE">
        <w:rPr>
          <w:rFonts w:ascii="Times New Roman" w:hAnsi="Times New Roman"/>
          <w:sz w:val="24"/>
          <w:szCs w:val="24"/>
          <w:lang w:val="en-US"/>
        </w:rPr>
        <w:t xml:space="preserve"> which </w:t>
      </w:r>
      <w:r w:rsidR="009E2DE4">
        <w:rPr>
          <w:rFonts w:ascii="Times New Roman" w:hAnsi="Times New Roman"/>
          <w:sz w:val="24"/>
          <w:szCs w:val="24"/>
          <w:lang w:val="en-US"/>
        </w:rPr>
        <w:t>offers a mixed bag of legal bases.</w:t>
      </w:r>
      <w:r w:rsidR="005225BE">
        <w:rPr>
          <w:rFonts w:ascii="Times New Roman" w:hAnsi="Times New Roman"/>
          <w:sz w:val="24"/>
          <w:szCs w:val="24"/>
          <w:lang w:val="en-US"/>
        </w:rPr>
        <w:t xml:space="preserve"> </w:t>
      </w:r>
      <w:r w:rsidR="000A281B">
        <w:rPr>
          <w:rFonts w:ascii="Times New Roman" w:hAnsi="Times New Roman"/>
          <w:sz w:val="24"/>
          <w:szCs w:val="24"/>
          <w:lang w:val="en-US"/>
        </w:rPr>
        <w:t>The judges’</w:t>
      </w:r>
      <w:r w:rsidR="009E2DE4">
        <w:rPr>
          <w:rFonts w:ascii="Times New Roman" w:hAnsi="Times New Roman"/>
          <w:sz w:val="24"/>
          <w:szCs w:val="24"/>
          <w:lang w:val="en-US"/>
        </w:rPr>
        <w:t xml:space="preserve"> final conclusion is based </w:t>
      </w:r>
      <w:r w:rsidR="007D6743">
        <w:rPr>
          <w:rFonts w:ascii="Times New Roman" w:hAnsi="Times New Roman"/>
          <w:sz w:val="24"/>
          <w:szCs w:val="24"/>
          <w:lang w:val="en-US"/>
        </w:rPr>
        <w:t>on Article 1(3), 5 and 6(1) of the EAW Framework Decision</w:t>
      </w:r>
      <w:r w:rsidR="00C06479">
        <w:rPr>
          <w:rFonts w:ascii="Times New Roman" w:hAnsi="Times New Roman"/>
          <w:sz w:val="24"/>
          <w:szCs w:val="24"/>
          <w:lang w:val="en-US"/>
        </w:rPr>
        <w:t xml:space="preserve">. It is notable that Articles 3, 4 and 4a covering the grounds for non-execution of the European Arrest Warrant are nowhere to be seen. </w:t>
      </w:r>
      <w:r w:rsidR="00552D63">
        <w:rPr>
          <w:rFonts w:ascii="Times New Roman" w:hAnsi="Times New Roman"/>
          <w:sz w:val="24"/>
          <w:szCs w:val="24"/>
          <w:lang w:val="en-US"/>
        </w:rPr>
        <w:t xml:space="preserve">This, as argued later in this </w:t>
      </w:r>
      <w:r w:rsidR="00DB4036">
        <w:rPr>
          <w:rFonts w:ascii="Times New Roman" w:hAnsi="Times New Roman"/>
          <w:sz w:val="24"/>
          <w:szCs w:val="24"/>
          <w:lang w:val="en-US"/>
        </w:rPr>
        <w:t>article</w:t>
      </w:r>
      <w:r w:rsidR="00552D63">
        <w:rPr>
          <w:rFonts w:ascii="Times New Roman" w:hAnsi="Times New Roman"/>
          <w:sz w:val="24"/>
          <w:szCs w:val="24"/>
          <w:lang w:val="en-US"/>
        </w:rPr>
        <w:t xml:space="preserve">, may have been the reason behind </w:t>
      </w:r>
      <w:r w:rsidR="00B576A4">
        <w:rPr>
          <w:rFonts w:ascii="Times New Roman" w:hAnsi="Times New Roman"/>
          <w:sz w:val="24"/>
          <w:szCs w:val="24"/>
          <w:lang w:val="en-US"/>
        </w:rPr>
        <w:t xml:space="preserve">a </w:t>
      </w:r>
      <w:r w:rsidR="00552D63">
        <w:rPr>
          <w:rFonts w:ascii="Times New Roman" w:hAnsi="Times New Roman"/>
          <w:sz w:val="24"/>
          <w:szCs w:val="24"/>
          <w:lang w:val="en-US"/>
        </w:rPr>
        <w:t xml:space="preserve">very cautious wording employed by the Court of Justice to </w:t>
      </w:r>
      <w:r w:rsidR="00B576A4">
        <w:rPr>
          <w:rFonts w:ascii="Times New Roman" w:hAnsi="Times New Roman"/>
          <w:sz w:val="24"/>
          <w:szCs w:val="24"/>
          <w:lang w:val="en-US"/>
        </w:rPr>
        <w:t>describe options available to a national court</w:t>
      </w:r>
      <w:r w:rsidR="001C618C">
        <w:rPr>
          <w:rFonts w:ascii="Times New Roman" w:hAnsi="Times New Roman"/>
          <w:sz w:val="24"/>
          <w:szCs w:val="24"/>
          <w:lang w:val="en-US"/>
        </w:rPr>
        <w:t>,</w:t>
      </w:r>
      <w:r w:rsidR="00B576A4">
        <w:rPr>
          <w:rFonts w:ascii="Times New Roman" w:hAnsi="Times New Roman"/>
          <w:sz w:val="24"/>
          <w:szCs w:val="24"/>
          <w:lang w:val="en-US"/>
        </w:rPr>
        <w:t xml:space="preserve"> </w:t>
      </w:r>
      <w:r w:rsidR="00EA3148">
        <w:rPr>
          <w:rFonts w:ascii="Times New Roman" w:hAnsi="Times New Roman"/>
          <w:sz w:val="24"/>
          <w:szCs w:val="24"/>
          <w:lang w:val="en-US"/>
        </w:rPr>
        <w:t>should its doubts be not discounted after clarifications coming from the requesting country.</w:t>
      </w:r>
    </w:p>
    <w:p w14:paraId="5BD46342" w14:textId="77777777" w:rsidR="003237B4" w:rsidRDefault="003237B4">
      <w:pPr>
        <w:pStyle w:val="Default"/>
        <w:jc w:val="both"/>
        <w:rPr>
          <w:rFonts w:ascii="Times New Roman" w:hAnsi="Times New Roman"/>
          <w:sz w:val="24"/>
          <w:szCs w:val="24"/>
          <w:lang w:val="en-US"/>
        </w:rPr>
      </w:pPr>
    </w:p>
    <w:p w14:paraId="1932869F" w14:textId="3DE7248B" w:rsidR="003237B4" w:rsidRPr="00747D73" w:rsidRDefault="006175C1">
      <w:pPr>
        <w:pStyle w:val="Default"/>
        <w:jc w:val="both"/>
        <w:rPr>
          <w:rFonts w:ascii="Times New Roman" w:hAnsi="Times New Roman"/>
          <w:i/>
          <w:sz w:val="24"/>
          <w:szCs w:val="24"/>
          <w:lang w:val="en-US"/>
        </w:rPr>
      </w:pPr>
      <w:r w:rsidRPr="00747D73">
        <w:rPr>
          <w:rFonts w:ascii="Times New Roman" w:hAnsi="Times New Roman"/>
          <w:i/>
          <w:sz w:val="24"/>
          <w:szCs w:val="24"/>
          <w:lang w:val="en-US"/>
        </w:rPr>
        <w:t xml:space="preserve">3.2.3. </w:t>
      </w:r>
      <w:r w:rsidR="00D46C87" w:rsidRPr="00747D73">
        <w:rPr>
          <w:rFonts w:ascii="Times New Roman" w:hAnsi="Times New Roman"/>
          <w:i/>
          <w:sz w:val="24"/>
          <w:szCs w:val="24"/>
          <w:lang w:val="en-US"/>
        </w:rPr>
        <w:t>Towards a creative interpretation of the EAW Framework Decision</w:t>
      </w:r>
    </w:p>
    <w:p w14:paraId="4A333A9F" w14:textId="77777777" w:rsidR="00821D1A" w:rsidRDefault="00821D1A">
      <w:pPr>
        <w:pStyle w:val="Default"/>
        <w:jc w:val="both"/>
        <w:rPr>
          <w:rFonts w:ascii="Times New Roman" w:hAnsi="Times New Roman"/>
          <w:sz w:val="24"/>
          <w:szCs w:val="24"/>
          <w:lang w:val="en-US"/>
        </w:rPr>
      </w:pPr>
    </w:p>
    <w:p w14:paraId="560F1455" w14:textId="028CDDB3" w:rsidR="00B91771" w:rsidRPr="00FC6707" w:rsidRDefault="00511438">
      <w:pPr>
        <w:pStyle w:val="Default"/>
        <w:jc w:val="both"/>
        <w:rPr>
          <w:rFonts w:ascii="Times New Roman" w:hAnsi="Times New Roman"/>
          <w:sz w:val="24"/>
          <w:szCs w:val="24"/>
          <w:lang w:val="en-US"/>
        </w:rPr>
      </w:pPr>
      <w:r>
        <w:rPr>
          <w:rFonts w:ascii="Times New Roman" w:hAnsi="Times New Roman"/>
          <w:sz w:val="24"/>
          <w:szCs w:val="24"/>
          <w:lang w:val="en-US"/>
        </w:rPr>
        <w:t>Voltaire acutely observed that “d</w:t>
      </w:r>
      <w:r w:rsidR="00821D1A">
        <w:rPr>
          <w:rFonts w:ascii="Times New Roman" w:hAnsi="Times New Roman"/>
          <w:sz w:val="24"/>
          <w:szCs w:val="24"/>
          <w:lang w:val="en-US"/>
        </w:rPr>
        <w:t>oubt is an uncomfortable condition”</w:t>
      </w:r>
      <w:r>
        <w:rPr>
          <w:rFonts w:ascii="Times New Roman" w:hAnsi="Times New Roman"/>
          <w:sz w:val="24"/>
          <w:szCs w:val="24"/>
          <w:lang w:val="en-US"/>
        </w:rPr>
        <w:t>.</w:t>
      </w:r>
      <w:r w:rsidR="006D61B0">
        <w:rPr>
          <w:rStyle w:val="FootnoteReference"/>
          <w:rFonts w:ascii="Times New Roman" w:hAnsi="Times New Roman"/>
          <w:sz w:val="24"/>
          <w:szCs w:val="24"/>
          <w:lang w:val="en-US"/>
        </w:rPr>
        <w:footnoteReference w:id="46"/>
      </w:r>
      <w:r>
        <w:rPr>
          <w:rFonts w:ascii="Times New Roman" w:hAnsi="Times New Roman"/>
          <w:sz w:val="24"/>
          <w:szCs w:val="24"/>
          <w:lang w:val="en-US"/>
        </w:rPr>
        <w:t xml:space="preserve"> It is particularly so when a national judge </w:t>
      </w:r>
      <w:r w:rsidR="007702B7">
        <w:rPr>
          <w:rFonts w:ascii="Times New Roman" w:hAnsi="Times New Roman"/>
          <w:sz w:val="24"/>
          <w:szCs w:val="24"/>
          <w:lang w:val="en-US"/>
        </w:rPr>
        <w:t xml:space="preserve">doubts the respect for fundamental rights in the requesting country and considers whether to surrender an individual or not. </w:t>
      </w:r>
      <w:r w:rsidR="00D46C87">
        <w:rPr>
          <w:rFonts w:ascii="Times New Roman" w:hAnsi="Times New Roman"/>
          <w:sz w:val="24"/>
          <w:szCs w:val="24"/>
          <w:lang w:val="en-US"/>
        </w:rPr>
        <w:t xml:space="preserve">Arguably, the references in cases </w:t>
      </w:r>
      <w:r w:rsidR="00D46C87" w:rsidRPr="00D46C87">
        <w:rPr>
          <w:rFonts w:ascii="Times New Roman" w:hAnsi="Times New Roman"/>
          <w:sz w:val="24"/>
          <w:szCs w:val="24"/>
          <w:lang w:val="en-US"/>
        </w:rPr>
        <w:t xml:space="preserve">joint cases </w:t>
      </w:r>
      <w:proofErr w:type="spellStart"/>
      <w:r w:rsidR="00D46C87" w:rsidRPr="00D46C87">
        <w:rPr>
          <w:rFonts w:ascii="Times New Roman" w:hAnsi="Times New Roman"/>
          <w:i/>
          <w:sz w:val="24"/>
          <w:szCs w:val="24"/>
          <w:lang w:val="en-US"/>
        </w:rPr>
        <w:t>Aranyosi</w:t>
      </w:r>
      <w:proofErr w:type="spellEnd"/>
      <w:r w:rsidR="00D46C87" w:rsidRPr="00D46C87">
        <w:rPr>
          <w:rFonts w:ascii="Times New Roman" w:hAnsi="Times New Roman"/>
          <w:i/>
          <w:sz w:val="24"/>
          <w:szCs w:val="24"/>
          <w:lang w:val="en-US"/>
        </w:rPr>
        <w:t xml:space="preserve"> and </w:t>
      </w:r>
      <w:proofErr w:type="spellStart"/>
      <w:r w:rsidR="00D46C87" w:rsidRPr="00D46C87">
        <w:rPr>
          <w:rFonts w:ascii="Times New Roman" w:hAnsi="Times New Roman"/>
          <w:i/>
          <w:sz w:val="24"/>
          <w:szCs w:val="24"/>
          <w:lang w:val="en-US"/>
        </w:rPr>
        <w:t>Căldăraru</w:t>
      </w:r>
      <w:proofErr w:type="spellEnd"/>
      <w:r w:rsidR="00D46C87">
        <w:rPr>
          <w:rFonts w:ascii="Times New Roman" w:hAnsi="Times New Roman"/>
          <w:sz w:val="24"/>
          <w:szCs w:val="24"/>
          <w:lang w:val="en-US"/>
        </w:rPr>
        <w:t xml:space="preserve"> also put the Court of Justice in an unco</w:t>
      </w:r>
      <w:r w:rsidR="005373DD">
        <w:rPr>
          <w:rFonts w:ascii="Times New Roman" w:hAnsi="Times New Roman"/>
          <w:sz w:val="24"/>
          <w:szCs w:val="24"/>
          <w:lang w:val="en-US"/>
        </w:rPr>
        <w:t xml:space="preserve">mfortable position as it forced </w:t>
      </w:r>
      <w:r w:rsidR="00017B13">
        <w:rPr>
          <w:rFonts w:ascii="Times New Roman" w:hAnsi="Times New Roman"/>
          <w:sz w:val="24"/>
          <w:szCs w:val="24"/>
          <w:lang w:val="en-US"/>
        </w:rPr>
        <w:t>the judges to engage in a balancing act</w:t>
      </w:r>
      <w:r w:rsidR="00D24612">
        <w:rPr>
          <w:rFonts w:ascii="Times New Roman" w:hAnsi="Times New Roman"/>
          <w:sz w:val="24"/>
          <w:szCs w:val="24"/>
          <w:lang w:val="en-US"/>
        </w:rPr>
        <w:t xml:space="preserve"> of reconciling the mutual trust and mutual recognition with risks to respect for fundamental rights. </w:t>
      </w:r>
      <w:r w:rsidR="00DE4BA1">
        <w:rPr>
          <w:rFonts w:ascii="Times New Roman" w:hAnsi="Times New Roman"/>
          <w:sz w:val="24"/>
          <w:szCs w:val="24"/>
          <w:lang w:val="en-US"/>
        </w:rPr>
        <w:t>A</w:t>
      </w:r>
      <w:r w:rsidR="0084179D">
        <w:rPr>
          <w:rFonts w:ascii="Times New Roman" w:hAnsi="Times New Roman"/>
          <w:sz w:val="24"/>
          <w:szCs w:val="24"/>
          <w:lang w:val="en-US"/>
        </w:rPr>
        <w:t>t this stage</w:t>
      </w:r>
      <w:r w:rsidR="00DE4BA1">
        <w:rPr>
          <w:rFonts w:ascii="Times New Roman" w:hAnsi="Times New Roman"/>
          <w:sz w:val="24"/>
          <w:szCs w:val="24"/>
          <w:lang w:val="en-US"/>
        </w:rPr>
        <w:t xml:space="preserve"> of the analysis</w:t>
      </w:r>
      <w:r w:rsidR="0084179D">
        <w:rPr>
          <w:rFonts w:ascii="Times New Roman" w:hAnsi="Times New Roman"/>
          <w:sz w:val="24"/>
          <w:szCs w:val="24"/>
          <w:lang w:val="en-US"/>
        </w:rPr>
        <w:t xml:space="preserve"> it is </w:t>
      </w:r>
      <w:r w:rsidR="00E8723D">
        <w:rPr>
          <w:rFonts w:ascii="Times New Roman" w:hAnsi="Times New Roman"/>
          <w:sz w:val="24"/>
          <w:szCs w:val="24"/>
          <w:lang w:val="en-US"/>
        </w:rPr>
        <w:t>fitting</w:t>
      </w:r>
      <w:r w:rsidR="0084179D">
        <w:rPr>
          <w:rFonts w:ascii="Times New Roman" w:hAnsi="Times New Roman"/>
          <w:sz w:val="24"/>
          <w:szCs w:val="24"/>
          <w:lang w:val="en-US"/>
        </w:rPr>
        <w:t xml:space="preserve"> to focus on </w:t>
      </w:r>
      <w:r w:rsidR="00DE4BA1">
        <w:rPr>
          <w:rFonts w:ascii="Times New Roman" w:hAnsi="Times New Roman"/>
          <w:sz w:val="24"/>
          <w:szCs w:val="24"/>
          <w:lang w:val="en-US"/>
        </w:rPr>
        <w:t>how</w:t>
      </w:r>
      <w:r w:rsidR="0084179D">
        <w:rPr>
          <w:rFonts w:ascii="Times New Roman" w:hAnsi="Times New Roman"/>
          <w:sz w:val="24"/>
          <w:szCs w:val="24"/>
          <w:lang w:val="en-US"/>
        </w:rPr>
        <w:t xml:space="preserve"> the Court of Justice interpreted the Charter of Fundamental Rights and </w:t>
      </w:r>
      <w:r w:rsidR="004B545E">
        <w:rPr>
          <w:rFonts w:ascii="Times New Roman" w:hAnsi="Times New Roman"/>
          <w:sz w:val="24"/>
          <w:szCs w:val="24"/>
          <w:lang w:val="en-US"/>
        </w:rPr>
        <w:t xml:space="preserve">the way it designed a procedure that national judges should follow when they find themselves in the same predicament as </w:t>
      </w:r>
      <w:proofErr w:type="spellStart"/>
      <w:r w:rsidR="004B545E" w:rsidRPr="00E8723D">
        <w:rPr>
          <w:rFonts w:ascii="Times New Roman" w:hAnsi="Times New Roman"/>
          <w:i/>
          <w:sz w:val="24"/>
          <w:szCs w:val="24"/>
          <w:lang w:val="en-US"/>
        </w:rPr>
        <w:t>Hanseatisches</w:t>
      </w:r>
      <w:proofErr w:type="spellEnd"/>
      <w:r w:rsidR="004B545E" w:rsidRPr="00E8723D">
        <w:rPr>
          <w:rFonts w:ascii="Times New Roman" w:hAnsi="Times New Roman"/>
          <w:i/>
          <w:sz w:val="24"/>
          <w:szCs w:val="24"/>
          <w:lang w:val="en-US"/>
        </w:rPr>
        <w:t xml:space="preserve"> </w:t>
      </w:r>
      <w:proofErr w:type="spellStart"/>
      <w:r w:rsidR="004B545E" w:rsidRPr="00E8723D">
        <w:rPr>
          <w:rFonts w:ascii="Times New Roman" w:hAnsi="Times New Roman"/>
          <w:i/>
          <w:sz w:val="24"/>
          <w:szCs w:val="24"/>
          <w:lang w:val="en-US"/>
        </w:rPr>
        <w:t>Oberlandesgericht</w:t>
      </w:r>
      <w:proofErr w:type="spellEnd"/>
      <w:r w:rsidR="004B545E">
        <w:rPr>
          <w:rFonts w:ascii="Times New Roman" w:hAnsi="Times New Roman"/>
          <w:sz w:val="24"/>
          <w:szCs w:val="24"/>
          <w:lang w:val="en-US"/>
        </w:rPr>
        <w:t xml:space="preserve"> in Bremen</w:t>
      </w:r>
      <w:r w:rsidR="00DE4BA1">
        <w:rPr>
          <w:rFonts w:ascii="Times New Roman" w:hAnsi="Times New Roman"/>
          <w:sz w:val="24"/>
          <w:szCs w:val="24"/>
          <w:lang w:val="en-US"/>
        </w:rPr>
        <w:t xml:space="preserve"> (from which both references originated).</w:t>
      </w:r>
      <w:r w:rsidR="004B545E">
        <w:rPr>
          <w:rFonts w:ascii="Times New Roman" w:hAnsi="Times New Roman"/>
          <w:sz w:val="24"/>
          <w:szCs w:val="24"/>
          <w:lang w:val="en-US"/>
        </w:rPr>
        <w:t xml:space="preserve"> </w:t>
      </w:r>
    </w:p>
    <w:p w14:paraId="1B8BF698" w14:textId="77777777" w:rsidR="004E2F3A" w:rsidRDefault="004E2F3A">
      <w:pPr>
        <w:pStyle w:val="Default"/>
        <w:rPr>
          <w:rFonts w:ascii="Times New Roman" w:eastAsia="Times New Roman" w:hAnsi="Times New Roman" w:cs="Times New Roman"/>
          <w:sz w:val="24"/>
          <w:szCs w:val="24"/>
        </w:rPr>
      </w:pPr>
    </w:p>
    <w:p w14:paraId="637FE668" w14:textId="71060C82" w:rsidR="00E8723D" w:rsidRDefault="000D77B8" w:rsidP="000D77B8">
      <w:pPr>
        <w:pStyle w:val="Default"/>
        <w:jc w:val="both"/>
        <w:rPr>
          <w:rFonts w:ascii="Times New Roman" w:hAnsi="Times New Roman"/>
          <w:iCs/>
          <w:sz w:val="24"/>
          <w:szCs w:val="24"/>
        </w:rPr>
      </w:pPr>
      <w:r>
        <w:rPr>
          <w:rFonts w:ascii="Times New Roman" w:eastAsia="Times New Roman" w:hAnsi="Times New Roman" w:cs="Times New Roman"/>
          <w:sz w:val="24"/>
          <w:szCs w:val="24"/>
        </w:rPr>
        <w:t>To begin with, the Court of Justice emphasised that when national authorities deal with the execution of the European Arrest Warrant</w:t>
      </w:r>
      <w:r w:rsidR="006561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34057">
        <w:rPr>
          <w:rFonts w:ascii="Times New Roman" w:eastAsia="Times New Roman" w:hAnsi="Times New Roman" w:cs="Times New Roman"/>
          <w:sz w:val="24"/>
          <w:szCs w:val="24"/>
        </w:rPr>
        <w:t>they need to take into account</w:t>
      </w:r>
      <w:r>
        <w:rPr>
          <w:rFonts w:ascii="Times New Roman" w:eastAsia="Times New Roman" w:hAnsi="Times New Roman" w:cs="Times New Roman"/>
          <w:sz w:val="24"/>
          <w:szCs w:val="24"/>
        </w:rPr>
        <w:t xml:space="preserve"> Article 4 </w:t>
      </w:r>
      <w:r w:rsidR="00F34057">
        <w:rPr>
          <w:rFonts w:ascii="Times New Roman" w:eastAsia="Times New Roman" w:hAnsi="Times New Roman" w:cs="Times New Roman"/>
          <w:sz w:val="24"/>
          <w:szCs w:val="24"/>
        </w:rPr>
        <w:t xml:space="preserve">of the Charter, which </w:t>
      </w:r>
      <w:r>
        <w:rPr>
          <w:rFonts w:ascii="Times New Roman" w:eastAsia="Times New Roman" w:hAnsi="Times New Roman" w:cs="Times New Roman"/>
          <w:sz w:val="24"/>
          <w:szCs w:val="24"/>
        </w:rPr>
        <w:t>prohibits inhuman and degrading treatment or punishment</w:t>
      </w:r>
      <w:r w:rsidR="005F2591">
        <w:rPr>
          <w:rFonts w:ascii="Times New Roman" w:eastAsia="Times New Roman" w:hAnsi="Times New Roman" w:cs="Times New Roman"/>
          <w:sz w:val="24"/>
          <w:szCs w:val="24"/>
        </w:rPr>
        <w:t>.</w:t>
      </w:r>
      <w:r w:rsidR="00404A35">
        <w:rPr>
          <w:rStyle w:val="FootnoteReference"/>
          <w:rFonts w:ascii="Times New Roman" w:eastAsia="Times New Roman" w:hAnsi="Times New Roman" w:cs="Times New Roman"/>
          <w:sz w:val="24"/>
          <w:szCs w:val="24"/>
        </w:rPr>
        <w:footnoteReference w:id="47"/>
      </w:r>
      <w:r w:rsidR="005F2591">
        <w:rPr>
          <w:rFonts w:ascii="Times New Roman" w:eastAsia="Times New Roman" w:hAnsi="Times New Roman" w:cs="Times New Roman"/>
          <w:sz w:val="24"/>
          <w:szCs w:val="24"/>
        </w:rPr>
        <w:t xml:space="preserve"> Since it is modelled on Article 3 of ECHR it has to be interpreted accordingly</w:t>
      </w:r>
      <w:r w:rsidR="009F1732">
        <w:rPr>
          <w:rFonts w:ascii="Times New Roman" w:eastAsia="Times New Roman" w:hAnsi="Times New Roman" w:cs="Times New Roman"/>
          <w:sz w:val="24"/>
          <w:szCs w:val="24"/>
        </w:rPr>
        <w:t xml:space="preserve">, </w:t>
      </w:r>
      <w:r w:rsidR="00DB7EF2">
        <w:rPr>
          <w:rFonts w:ascii="Times New Roman" w:eastAsia="Times New Roman" w:hAnsi="Times New Roman" w:cs="Times New Roman"/>
          <w:sz w:val="24"/>
          <w:szCs w:val="24"/>
        </w:rPr>
        <w:t xml:space="preserve">that is </w:t>
      </w:r>
      <w:r w:rsidR="009F1732">
        <w:rPr>
          <w:rFonts w:ascii="Times New Roman" w:eastAsia="Times New Roman" w:hAnsi="Times New Roman" w:cs="Times New Roman"/>
          <w:sz w:val="24"/>
          <w:szCs w:val="24"/>
        </w:rPr>
        <w:t>taking into account the jurisprudence of the European Court of Human Rights</w:t>
      </w:r>
      <w:r w:rsidR="005F2591">
        <w:rPr>
          <w:rFonts w:ascii="Times New Roman" w:eastAsia="Times New Roman" w:hAnsi="Times New Roman" w:cs="Times New Roman"/>
          <w:sz w:val="24"/>
          <w:szCs w:val="24"/>
        </w:rPr>
        <w:t>.</w:t>
      </w:r>
      <w:r w:rsidR="005F2591">
        <w:rPr>
          <w:rStyle w:val="FootnoteReference"/>
          <w:rFonts w:ascii="Times New Roman" w:eastAsia="Times New Roman" w:hAnsi="Times New Roman" w:cs="Times New Roman"/>
          <w:sz w:val="24"/>
          <w:szCs w:val="24"/>
        </w:rPr>
        <w:footnoteReference w:id="48"/>
      </w:r>
      <w:r w:rsidR="00C77F18">
        <w:rPr>
          <w:rFonts w:ascii="Times New Roman" w:eastAsia="Times New Roman" w:hAnsi="Times New Roman" w:cs="Times New Roman"/>
          <w:sz w:val="24"/>
          <w:szCs w:val="24"/>
        </w:rPr>
        <w:t xml:space="preserve"> </w:t>
      </w:r>
      <w:r w:rsidR="000822BA">
        <w:rPr>
          <w:rFonts w:ascii="Times New Roman" w:eastAsia="Times New Roman" w:hAnsi="Times New Roman" w:cs="Times New Roman"/>
          <w:sz w:val="24"/>
          <w:szCs w:val="24"/>
        </w:rPr>
        <w:t xml:space="preserve">The question that emerged in </w:t>
      </w:r>
      <w:r w:rsidR="000822BA">
        <w:rPr>
          <w:rFonts w:ascii="Times New Roman" w:hAnsi="Times New Roman"/>
          <w:sz w:val="24"/>
          <w:szCs w:val="24"/>
          <w:lang w:val="en-US"/>
        </w:rPr>
        <w:t xml:space="preserve">cases </w:t>
      </w:r>
      <w:proofErr w:type="spellStart"/>
      <w:r w:rsidR="000822BA">
        <w:rPr>
          <w:rFonts w:ascii="Times New Roman" w:hAnsi="Times New Roman"/>
          <w:i/>
          <w:iCs/>
          <w:sz w:val="24"/>
          <w:szCs w:val="24"/>
          <w:lang w:val="en-US"/>
        </w:rPr>
        <w:t>Aranyosi</w:t>
      </w:r>
      <w:proofErr w:type="spellEnd"/>
      <w:r w:rsidR="000822BA">
        <w:rPr>
          <w:rFonts w:ascii="Times New Roman" w:hAnsi="Times New Roman"/>
          <w:sz w:val="24"/>
          <w:szCs w:val="24"/>
          <w:lang w:val="en-US"/>
        </w:rPr>
        <w:t xml:space="preserve"> and </w:t>
      </w:r>
      <w:proofErr w:type="spellStart"/>
      <w:r w:rsidR="000822BA">
        <w:rPr>
          <w:rFonts w:ascii="Times New Roman" w:hAnsi="Times New Roman"/>
          <w:i/>
          <w:iCs/>
          <w:sz w:val="24"/>
          <w:szCs w:val="24"/>
        </w:rPr>
        <w:t>Căldăraru</w:t>
      </w:r>
      <w:proofErr w:type="spellEnd"/>
      <w:r w:rsidR="000822BA">
        <w:rPr>
          <w:rFonts w:ascii="Times New Roman" w:hAnsi="Times New Roman"/>
          <w:i/>
          <w:iCs/>
          <w:sz w:val="24"/>
          <w:szCs w:val="24"/>
        </w:rPr>
        <w:t xml:space="preserve"> </w:t>
      </w:r>
      <w:r w:rsidR="000822BA">
        <w:rPr>
          <w:rFonts w:ascii="Times New Roman" w:hAnsi="Times New Roman"/>
          <w:iCs/>
          <w:sz w:val="24"/>
          <w:szCs w:val="24"/>
        </w:rPr>
        <w:t xml:space="preserve">is how to square the circle, taking into account the Framework Decision 584/2002/JHA and Article 4 of the Charter of Fundamental Rights. To put it differently, how a national judge should proceed when, on the one hand, Articles 3-4/4a of the Framework Decision provide for an exhaustive catalogue of grounds for refusal to </w:t>
      </w:r>
      <w:r w:rsidR="00C2388A">
        <w:rPr>
          <w:rFonts w:ascii="Times New Roman" w:hAnsi="Times New Roman"/>
          <w:iCs/>
          <w:sz w:val="24"/>
          <w:szCs w:val="24"/>
        </w:rPr>
        <w:t xml:space="preserve">surrender and yet, on the other hand, such a surrender may not expose a person concerned to inhuman and </w:t>
      </w:r>
      <w:r w:rsidR="00F361F3">
        <w:rPr>
          <w:rFonts w:ascii="Times New Roman" w:hAnsi="Times New Roman"/>
          <w:iCs/>
          <w:sz w:val="24"/>
          <w:szCs w:val="24"/>
        </w:rPr>
        <w:t>degrading</w:t>
      </w:r>
      <w:r w:rsidR="00C2388A">
        <w:rPr>
          <w:rFonts w:ascii="Times New Roman" w:hAnsi="Times New Roman"/>
          <w:iCs/>
          <w:sz w:val="24"/>
          <w:szCs w:val="24"/>
        </w:rPr>
        <w:t xml:space="preserve"> treatment. </w:t>
      </w:r>
      <w:r w:rsidR="005C6C2D">
        <w:rPr>
          <w:rFonts w:ascii="Times New Roman" w:hAnsi="Times New Roman"/>
          <w:iCs/>
          <w:sz w:val="24"/>
          <w:szCs w:val="24"/>
        </w:rPr>
        <w:t>In this respect the Court of Justice has proven to be quite crea</w:t>
      </w:r>
      <w:r w:rsidR="00053A43">
        <w:rPr>
          <w:rFonts w:ascii="Times New Roman" w:hAnsi="Times New Roman"/>
          <w:iCs/>
          <w:sz w:val="24"/>
          <w:szCs w:val="24"/>
        </w:rPr>
        <w:t>tive, developing a two-tier test that should be followed. As will be argued below, it provides some clarity</w:t>
      </w:r>
      <w:r w:rsidR="00FD325A">
        <w:rPr>
          <w:rFonts w:ascii="Times New Roman" w:hAnsi="Times New Roman"/>
          <w:iCs/>
          <w:sz w:val="24"/>
          <w:szCs w:val="24"/>
        </w:rPr>
        <w:t xml:space="preserve"> as a matter of principle, but at the same time, a fair degree of uncertainty when it comes to national courtrooms. This is further elaborated in turn.</w:t>
      </w:r>
    </w:p>
    <w:p w14:paraId="3CB6FEAB" w14:textId="77777777" w:rsidR="00FD325A" w:rsidRDefault="00FD325A" w:rsidP="000D77B8">
      <w:pPr>
        <w:pStyle w:val="Default"/>
        <w:jc w:val="both"/>
        <w:rPr>
          <w:rFonts w:ascii="Times New Roman" w:hAnsi="Times New Roman"/>
          <w:iCs/>
          <w:sz w:val="24"/>
          <w:szCs w:val="24"/>
        </w:rPr>
      </w:pPr>
    </w:p>
    <w:p w14:paraId="5354CC9F" w14:textId="07A97694" w:rsidR="00FD325A" w:rsidRDefault="000D355A" w:rsidP="000D77B8">
      <w:pPr>
        <w:pStyle w:val="Default"/>
        <w:jc w:val="both"/>
        <w:rPr>
          <w:rFonts w:ascii="Times New Roman" w:hAnsi="Times New Roman"/>
          <w:iCs/>
          <w:sz w:val="24"/>
          <w:szCs w:val="24"/>
        </w:rPr>
      </w:pPr>
      <w:r>
        <w:rPr>
          <w:rFonts w:ascii="Times New Roman" w:hAnsi="Times New Roman"/>
          <w:iCs/>
          <w:sz w:val="24"/>
          <w:szCs w:val="24"/>
        </w:rPr>
        <w:t>As a first step the executing judicial authority must establish whether there is a risk of degrading treatment at the detention conditions in the receiving country. Such argumentation with evidence is likely to be submitted by defence lawyer</w:t>
      </w:r>
      <w:r w:rsidR="005E7134">
        <w:rPr>
          <w:rFonts w:ascii="Times New Roman" w:hAnsi="Times New Roman"/>
          <w:iCs/>
          <w:sz w:val="24"/>
          <w:szCs w:val="24"/>
        </w:rPr>
        <w:t>s</w:t>
      </w:r>
      <w:r>
        <w:rPr>
          <w:rFonts w:ascii="Times New Roman" w:hAnsi="Times New Roman"/>
          <w:iCs/>
          <w:sz w:val="24"/>
          <w:szCs w:val="24"/>
        </w:rPr>
        <w:t xml:space="preserve"> aiming at non-surrender of their clients. </w:t>
      </w:r>
      <w:r w:rsidR="00C94E14">
        <w:rPr>
          <w:rFonts w:ascii="Times New Roman" w:hAnsi="Times New Roman"/>
          <w:iCs/>
          <w:sz w:val="24"/>
          <w:szCs w:val="24"/>
        </w:rPr>
        <w:t>The question is what kind of evidence must be submitted to prove the point. In this respect para. 89 of the judgment is very instrumental. The Court of Justice ruled that:</w:t>
      </w:r>
    </w:p>
    <w:p w14:paraId="773ADC2E" w14:textId="77777777" w:rsidR="00C94E14" w:rsidRDefault="00C94E14" w:rsidP="000D77B8">
      <w:pPr>
        <w:pStyle w:val="Default"/>
        <w:jc w:val="both"/>
        <w:rPr>
          <w:rFonts w:ascii="Times New Roman" w:hAnsi="Times New Roman"/>
          <w:iCs/>
          <w:sz w:val="24"/>
          <w:szCs w:val="24"/>
        </w:rPr>
      </w:pPr>
    </w:p>
    <w:p w14:paraId="281DCA8C" w14:textId="77777777" w:rsidR="00C94E14" w:rsidRPr="00B009C6" w:rsidRDefault="00C94E14" w:rsidP="00631AC8">
      <w:pPr>
        <w:pStyle w:val="Default"/>
        <w:ind w:left="1134" w:right="1133"/>
        <w:jc w:val="both"/>
        <w:rPr>
          <w:rFonts w:ascii="Times New Roman" w:hAnsi="Times New Roman"/>
          <w:iCs/>
          <w:sz w:val="20"/>
          <w:szCs w:val="20"/>
        </w:rPr>
      </w:pPr>
      <w:r w:rsidRPr="00B009C6">
        <w:rPr>
          <w:rFonts w:ascii="Times New Roman" w:hAnsi="Times New Roman"/>
          <w:iCs/>
          <w:sz w:val="20"/>
          <w:szCs w:val="20"/>
        </w:rPr>
        <w:t xml:space="preserve">“the executing judicial authority must, initially, rely on </w:t>
      </w:r>
      <w:r w:rsidR="00631AC8" w:rsidRPr="00B009C6">
        <w:rPr>
          <w:rFonts w:ascii="Times New Roman" w:hAnsi="Times New Roman"/>
          <w:iCs/>
          <w:sz w:val="20"/>
          <w:szCs w:val="20"/>
        </w:rPr>
        <w:t>information that is objective, reliable, specific and properly updated on the detention conditions prevailing in the issuing Member State and that demonstrates that there are deficiencies, which may be systemic or generalised, or which may affect certain groups of people, or which may affect certain places of detention”.</w:t>
      </w:r>
      <w:r w:rsidR="00631AC8" w:rsidRPr="00B009C6">
        <w:rPr>
          <w:rStyle w:val="FootnoteReference"/>
          <w:rFonts w:ascii="Times New Roman" w:hAnsi="Times New Roman"/>
          <w:iCs/>
          <w:sz w:val="20"/>
          <w:szCs w:val="20"/>
        </w:rPr>
        <w:footnoteReference w:id="49"/>
      </w:r>
    </w:p>
    <w:p w14:paraId="19F01DD3" w14:textId="77777777" w:rsidR="00631AC8" w:rsidRDefault="00631AC8" w:rsidP="000D77B8">
      <w:pPr>
        <w:pStyle w:val="Default"/>
        <w:jc w:val="both"/>
        <w:rPr>
          <w:rFonts w:ascii="Times New Roman" w:hAnsi="Times New Roman"/>
          <w:iCs/>
          <w:sz w:val="24"/>
          <w:szCs w:val="24"/>
        </w:rPr>
      </w:pPr>
    </w:p>
    <w:p w14:paraId="2BB4EDA3" w14:textId="2CC200A5" w:rsidR="00631AC8" w:rsidRDefault="002A56F8" w:rsidP="000D77B8">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test is not only about the </w:t>
      </w:r>
      <w:r w:rsidR="0074731D">
        <w:rPr>
          <w:rFonts w:ascii="Times New Roman" w:eastAsia="Times New Roman" w:hAnsi="Times New Roman" w:cs="Times New Roman"/>
          <w:sz w:val="24"/>
          <w:szCs w:val="24"/>
        </w:rPr>
        <w:t xml:space="preserve">categories and </w:t>
      </w:r>
      <w:r>
        <w:rPr>
          <w:rFonts w:ascii="Times New Roman" w:eastAsia="Times New Roman" w:hAnsi="Times New Roman" w:cs="Times New Roman"/>
          <w:sz w:val="24"/>
          <w:szCs w:val="24"/>
        </w:rPr>
        <w:t>quality of information that will be employed to make the assessment but also about the substantive criteria to be used</w:t>
      </w:r>
      <w:r w:rsidR="00D6797E">
        <w:rPr>
          <w:rFonts w:ascii="Times New Roman" w:eastAsia="Times New Roman" w:hAnsi="Times New Roman" w:cs="Times New Roman"/>
          <w:sz w:val="24"/>
          <w:szCs w:val="24"/>
        </w:rPr>
        <w:t xml:space="preserve"> to determine what</w:t>
      </w:r>
      <w:r w:rsidR="0074731D">
        <w:rPr>
          <w:rFonts w:ascii="Times New Roman" w:eastAsia="Times New Roman" w:hAnsi="Times New Roman" w:cs="Times New Roman"/>
          <w:sz w:val="24"/>
          <w:szCs w:val="24"/>
        </w:rPr>
        <w:t xml:space="preserve"> is specific enough</w:t>
      </w:r>
      <w:r>
        <w:rPr>
          <w:rFonts w:ascii="Times New Roman" w:eastAsia="Times New Roman" w:hAnsi="Times New Roman" w:cs="Times New Roman"/>
          <w:sz w:val="24"/>
          <w:szCs w:val="24"/>
        </w:rPr>
        <w:t xml:space="preserve">. In this respect the following </w:t>
      </w:r>
      <w:r w:rsidR="00E00A9C">
        <w:rPr>
          <w:rFonts w:ascii="Times New Roman" w:eastAsia="Times New Roman" w:hAnsi="Times New Roman" w:cs="Times New Roman"/>
          <w:sz w:val="24"/>
          <w:szCs w:val="24"/>
        </w:rPr>
        <w:t xml:space="preserve">paragraph </w:t>
      </w:r>
      <w:r>
        <w:rPr>
          <w:rFonts w:ascii="Times New Roman" w:eastAsia="Times New Roman" w:hAnsi="Times New Roman" w:cs="Times New Roman"/>
          <w:sz w:val="24"/>
          <w:szCs w:val="24"/>
        </w:rPr>
        <w:t xml:space="preserve">of the judgment is crucial as the </w:t>
      </w:r>
      <w:r w:rsidR="00E00A9C">
        <w:rPr>
          <w:rFonts w:ascii="Times New Roman" w:eastAsia="Times New Roman" w:hAnsi="Times New Roman" w:cs="Times New Roman"/>
          <w:sz w:val="24"/>
          <w:szCs w:val="24"/>
        </w:rPr>
        <w:t xml:space="preserve">Court of Justice elaborates further on the detention standards developed </w:t>
      </w:r>
      <w:r w:rsidR="0026701E">
        <w:rPr>
          <w:rFonts w:ascii="Times New Roman" w:eastAsia="Times New Roman" w:hAnsi="Times New Roman" w:cs="Times New Roman"/>
          <w:sz w:val="24"/>
          <w:szCs w:val="24"/>
        </w:rPr>
        <w:t xml:space="preserve">in its jurisprudence </w:t>
      </w:r>
      <w:r w:rsidR="00E00A9C">
        <w:rPr>
          <w:rFonts w:ascii="Times New Roman" w:eastAsia="Times New Roman" w:hAnsi="Times New Roman" w:cs="Times New Roman"/>
          <w:sz w:val="24"/>
          <w:szCs w:val="24"/>
        </w:rPr>
        <w:t xml:space="preserve">by the European Court of Human Rights. </w:t>
      </w:r>
      <w:r w:rsidR="001C34A9">
        <w:rPr>
          <w:rFonts w:ascii="Times New Roman" w:eastAsia="Times New Roman" w:hAnsi="Times New Roman" w:cs="Times New Roman"/>
          <w:sz w:val="24"/>
          <w:szCs w:val="24"/>
        </w:rPr>
        <w:t>It held:</w:t>
      </w:r>
    </w:p>
    <w:p w14:paraId="570D52B7" w14:textId="77777777" w:rsidR="001C34A9" w:rsidRDefault="001C34A9" w:rsidP="000D77B8">
      <w:pPr>
        <w:pStyle w:val="Default"/>
        <w:jc w:val="both"/>
        <w:rPr>
          <w:rFonts w:ascii="Times New Roman" w:eastAsia="Times New Roman" w:hAnsi="Times New Roman" w:cs="Times New Roman"/>
          <w:sz w:val="24"/>
          <w:szCs w:val="24"/>
        </w:rPr>
      </w:pPr>
    </w:p>
    <w:p w14:paraId="352B21C7" w14:textId="608DEA7C" w:rsidR="001C34A9" w:rsidRPr="00B009C6" w:rsidRDefault="001C34A9" w:rsidP="00B009C6">
      <w:pPr>
        <w:pStyle w:val="Default"/>
        <w:ind w:left="1134" w:right="1274"/>
        <w:jc w:val="both"/>
        <w:rPr>
          <w:rFonts w:ascii="Times New Roman" w:eastAsia="Times New Roman" w:hAnsi="Times New Roman" w:cs="Times New Roman"/>
          <w:sz w:val="20"/>
          <w:szCs w:val="20"/>
        </w:rPr>
      </w:pPr>
      <w:r w:rsidRPr="00B009C6">
        <w:rPr>
          <w:rFonts w:ascii="Times New Roman" w:eastAsia="Times New Roman" w:hAnsi="Times New Roman" w:cs="Times New Roman"/>
          <w:sz w:val="20"/>
          <w:szCs w:val="20"/>
        </w:rPr>
        <w:t>“</w:t>
      </w:r>
      <w:r w:rsidR="00261C28" w:rsidRPr="00B009C6">
        <w:rPr>
          <w:rFonts w:ascii="Times New Roman" w:eastAsia="Times New Roman" w:hAnsi="Times New Roman" w:cs="Times New Roman"/>
          <w:sz w:val="20"/>
          <w:szCs w:val="20"/>
        </w:rPr>
        <w:t xml:space="preserve">it follows from the case-law of the ECtHR that Article 3 ECHR imposes, on the authorities of the State on whose territory an individual is detained, a positive obligation to ensure that any prisoner is detained in conditions which guarantee respect for human dignity, that the way in which detention is enforced does not cause the individual concerned distress or hardship of an intensity exceeding the unavoidable level of suffering that is inherent in detention and that, having regard to the practical requirements of imprisonment, the health and well-being of the prisoner are adequately protected (see judgment of the ECtHR in </w:t>
      </w:r>
      <w:proofErr w:type="spellStart"/>
      <w:r w:rsidR="00261C28" w:rsidRPr="00B009C6">
        <w:rPr>
          <w:rFonts w:ascii="Times New Roman" w:eastAsia="Times New Roman" w:hAnsi="Times New Roman" w:cs="Times New Roman"/>
          <w:i/>
          <w:sz w:val="20"/>
          <w:szCs w:val="20"/>
        </w:rPr>
        <w:t>Torreggiani</w:t>
      </w:r>
      <w:proofErr w:type="spellEnd"/>
      <w:r w:rsidR="00261C28" w:rsidRPr="00B009C6">
        <w:rPr>
          <w:rFonts w:ascii="Times New Roman" w:eastAsia="Times New Roman" w:hAnsi="Times New Roman" w:cs="Times New Roman"/>
          <w:i/>
          <w:sz w:val="20"/>
          <w:szCs w:val="20"/>
        </w:rPr>
        <w:t xml:space="preserve"> and Others v. Italy</w:t>
      </w:r>
      <w:r w:rsidR="00164F5F" w:rsidRPr="00B009C6">
        <w:rPr>
          <w:rFonts w:ascii="Times New Roman" w:eastAsia="Times New Roman" w:hAnsi="Times New Roman" w:cs="Times New Roman"/>
          <w:i/>
          <w:sz w:val="20"/>
          <w:szCs w:val="20"/>
        </w:rPr>
        <w:t xml:space="preserve"> </w:t>
      </w:r>
      <w:r w:rsidR="00164F5F" w:rsidRPr="00B009C6">
        <w:rPr>
          <w:rFonts w:ascii="Times New Roman" w:eastAsia="Times New Roman" w:hAnsi="Times New Roman" w:cs="Times New Roman"/>
          <w:sz w:val="20"/>
          <w:szCs w:val="20"/>
        </w:rPr>
        <w:t>[…]</w:t>
      </w:r>
      <w:r w:rsidR="00261C28" w:rsidRPr="00B009C6">
        <w:rPr>
          <w:rFonts w:ascii="Times New Roman" w:eastAsia="Times New Roman" w:hAnsi="Times New Roman" w:cs="Times New Roman"/>
          <w:sz w:val="20"/>
          <w:szCs w:val="20"/>
        </w:rPr>
        <w:t>.”</w:t>
      </w:r>
      <w:r w:rsidR="00164F5F" w:rsidRPr="00B009C6">
        <w:rPr>
          <w:rStyle w:val="FootnoteReference"/>
          <w:rFonts w:ascii="Times New Roman" w:eastAsia="Times New Roman" w:hAnsi="Times New Roman" w:cs="Times New Roman"/>
          <w:sz w:val="20"/>
          <w:szCs w:val="20"/>
        </w:rPr>
        <w:t xml:space="preserve"> </w:t>
      </w:r>
      <w:r w:rsidR="00164F5F" w:rsidRPr="00B009C6">
        <w:rPr>
          <w:rStyle w:val="FootnoteReference"/>
          <w:rFonts w:ascii="Times New Roman" w:eastAsia="Times New Roman" w:hAnsi="Times New Roman" w:cs="Times New Roman"/>
          <w:sz w:val="20"/>
          <w:szCs w:val="20"/>
        </w:rPr>
        <w:footnoteReference w:id="50"/>
      </w:r>
    </w:p>
    <w:p w14:paraId="52BBAD54" w14:textId="77777777" w:rsidR="001C34A9" w:rsidRDefault="001C34A9" w:rsidP="000D77B8">
      <w:pPr>
        <w:pStyle w:val="Default"/>
        <w:jc w:val="both"/>
        <w:rPr>
          <w:rFonts w:ascii="Times New Roman" w:eastAsia="Times New Roman" w:hAnsi="Times New Roman" w:cs="Times New Roman"/>
          <w:sz w:val="24"/>
          <w:szCs w:val="24"/>
        </w:rPr>
      </w:pPr>
    </w:p>
    <w:p w14:paraId="55E8F120" w14:textId="4DE09BB4" w:rsidR="00135D9B" w:rsidRDefault="00093CDC" w:rsidP="00DF7BF6">
      <w:pPr>
        <w:pStyle w:val="Default"/>
        <w:jc w:val="both"/>
        <w:rPr>
          <w:rFonts w:ascii="Times New Roman" w:eastAsia="Times New Roman" w:hAnsi="Times New Roman" w:cs="Times New Roman"/>
          <w:iCs/>
          <w:sz w:val="24"/>
          <w:szCs w:val="24"/>
          <w:lang w:val="en-US"/>
        </w:rPr>
      </w:pPr>
      <w:r>
        <w:rPr>
          <w:rFonts w:ascii="Times New Roman" w:eastAsia="Times New Roman" w:hAnsi="Times New Roman" w:cs="Times New Roman"/>
          <w:sz w:val="24"/>
          <w:szCs w:val="24"/>
        </w:rPr>
        <w:t xml:space="preserve">All the above is plausible as far as </w:t>
      </w:r>
      <w:r w:rsidR="00B6535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principles are concerned</w:t>
      </w:r>
      <w:r w:rsidR="00B65352">
        <w:rPr>
          <w:rFonts w:ascii="Times New Roman" w:eastAsia="Times New Roman" w:hAnsi="Times New Roman" w:cs="Times New Roman"/>
          <w:sz w:val="24"/>
          <w:szCs w:val="24"/>
        </w:rPr>
        <w:t xml:space="preserve">. </w:t>
      </w:r>
      <w:r w:rsidR="002E230A">
        <w:rPr>
          <w:rFonts w:ascii="Times New Roman" w:eastAsia="Times New Roman" w:hAnsi="Times New Roman" w:cs="Times New Roman"/>
          <w:sz w:val="24"/>
          <w:szCs w:val="24"/>
        </w:rPr>
        <w:t xml:space="preserve">Yet, when one looks at it through the lenses of national judges several questions emerge. While it is true that it gives the domestic courts discretion and flexibility, at the same time </w:t>
      </w:r>
      <w:r w:rsidR="005A12FE">
        <w:rPr>
          <w:rFonts w:ascii="Times New Roman" w:eastAsia="Times New Roman" w:hAnsi="Times New Roman" w:cs="Times New Roman"/>
          <w:sz w:val="24"/>
          <w:szCs w:val="24"/>
        </w:rPr>
        <w:t xml:space="preserve">it merely provides vague indications and </w:t>
      </w:r>
      <w:r w:rsidR="0060301E">
        <w:rPr>
          <w:rFonts w:ascii="Times New Roman" w:eastAsia="Times New Roman" w:hAnsi="Times New Roman" w:cs="Times New Roman"/>
          <w:sz w:val="24"/>
          <w:szCs w:val="24"/>
        </w:rPr>
        <w:t xml:space="preserve">puts the </w:t>
      </w:r>
      <w:r w:rsidR="005A12FE">
        <w:rPr>
          <w:rFonts w:ascii="Times New Roman" w:eastAsia="Times New Roman" w:hAnsi="Times New Roman" w:cs="Times New Roman"/>
          <w:sz w:val="24"/>
          <w:szCs w:val="24"/>
        </w:rPr>
        <w:t>uniform application of EU law</w:t>
      </w:r>
      <w:r w:rsidR="0060301E">
        <w:rPr>
          <w:rFonts w:ascii="Times New Roman" w:eastAsia="Times New Roman" w:hAnsi="Times New Roman" w:cs="Times New Roman"/>
          <w:sz w:val="24"/>
          <w:szCs w:val="24"/>
        </w:rPr>
        <w:t xml:space="preserve"> at risk</w:t>
      </w:r>
      <w:r w:rsidR="005A12FE">
        <w:rPr>
          <w:rFonts w:ascii="Times New Roman" w:eastAsia="Times New Roman" w:hAnsi="Times New Roman" w:cs="Times New Roman"/>
          <w:sz w:val="24"/>
          <w:szCs w:val="24"/>
        </w:rPr>
        <w:t xml:space="preserve">. </w:t>
      </w:r>
      <w:r w:rsidR="00303FAE">
        <w:rPr>
          <w:rFonts w:ascii="Times New Roman" w:eastAsia="Times New Roman" w:hAnsi="Times New Roman" w:cs="Times New Roman"/>
          <w:sz w:val="24"/>
          <w:szCs w:val="24"/>
        </w:rPr>
        <w:t xml:space="preserve">Firstly, the test laid down in para. 89 of the judgment is characterised by a rather vague wording. The adjectives </w:t>
      </w:r>
      <w:r w:rsidR="005A12FE">
        <w:rPr>
          <w:rFonts w:ascii="Times New Roman" w:eastAsia="Times New Roman" w:hAnsi="Times New Roman" w:cs="Times New Roman"/>
          <w:sz w:val="24"/>
          <w:szCs w:val="24"/>
        </w:rPr>
        <w:t>employed</w:t>
      </w:r>
      <w:r w:rsidR="00303FAE">
        <w:rPr>
          <w:rFonts w:ascii="Times New Roman" w:eastAsia="Times New Roman" w:hAnsi="Times New Roman" w:cs="Times New Roman"/>
          <w:sz w:val="24"/>
          <w:szCs w:val="24"/>
        </w:rPr>
        <w:t xml:space="preserve"> by the Court of Justice are </w:t>
      </w:r>
      <w:r w:rsidR="0026701E">
        <w:rPr>
          <w:rFonts w:ascii="Times New Roman" w:eastAsia="Times New Roman" w:hAnsi="Times New Roman" w:cs="Times New Roman"/>
          <w:sz w:val="24"/>
          <w:szCs w:val="24"/>
        </w:rPr>
        <w:t>quite open-ended</w:t>
      </w:r>
      <w:r w:rsidR="00303FAE">
        <w:rPr>
          <w:rFonts w:ascii="Times New Roman" w:eastAsia="Times New Roman" w:hAnsi="Times New Roman" w:cs="Times New Roman"/>
          <w:sz w:val="24"/>
          <w:szCs w:val="24"/>
        </w:rPr>
        <w:t>.</w:t>
      </w:r>
      <w:r w:rsidR="00B12854">
        <w:rPr>
          <w:rFonts w:ascii="Times New Roman" w:eastAsia="Times New Roman" w:hAnsi="Times New Roman" w:cs="Times New Roman"/>
          <w:sz w:val="24"/>
          <w:szCs w:val="24"/>
        </w:rPr>
        <w:t xml:space="preserve"> </w:t>
      </w:r>
      <w:r w:rsidR="00DF7BF6">
        <w:rPr>
          <w:rFonts w:ascii="Times New Roman" w:eastAsia="Times New Roman" w:hAnsi="Times New Roman" w:cs="Times New Roman"/>
          <w:sz w:val="24"/>
          <w:szCs w:val="24"/>
        </w:rPr>
        <w:t>The test</w:t>
      </w:r>
      <w:r w:rsidR="00B12854">
        <w:rPr>
          <w:rFonts w:ascii="Times New Roman" w:eastAsia="Times New Roman" w:hAnsi="Times New Roman" w:cs="Times New Roman"/>
          <w:sz w:val="24"/>
          <w:szCs w:val="24"/>
        </w:rPr>
        <w:t xml:space="preserve"> </w:t>
      </w:r>
      <w:r w:rsidR="00DF7BF6">
        <w:rPr>
          <w:rFonts w:ascii="Times New Roman" w:eastAsia="Times New Roman" w:hAnsi="Times New Roman" w:cs="Times New Roman"/>
          <w:sz w:val="24"/>
          <w:szCs w:val="24"/>
        </w:rPr>
        <w:t>requires a national judge to base the assessment on data, which is: “</w:t>
      </w:r>
      <w:r w:rsidR="00DF7BF6" w:rsidRPr="006C7F1F">
        <w:rPr>
          <w:rFonts w:ascii="Times New Roman" w:eastAsia="Times New Roman" w:hAnsi="Times New Roman" w:cs="Times New Roman"/>
          <w:iCs/>
          <w:sz w:val="24"/>
          <w:szCs w:val="24"/>
          <w:lang w:val="en-US"/>
        </w:rPr>
        <w:t>objective, reliable, specific and properly</w:t>
      </w:r>
      <w:r w:rsidR="00DF7BF6">
        <w:rPr>
          <w:rFonts w:ascii="Times New Roman" w:eastAsia="Times New Roman" w:hAnsi="Times New Roman" w:cs="Times New Roman"/>
          <w:iCs/>
          <w:sz w:val="24"/>
          <w:szCs w:val="24"/>
          <w:lang w:val="en-US"/>
        </w:rPr>
        <w:t xml:space="preserve"> updated”. The first t</w:t>
      </w:r>
      <w:r w:rsidR="008329C1">
        <w:rPr>
          <w:rFonts w:ascii="Times New Roman" w:eastAsia="Times New Roman" w:hAnsi="Times New Roman" w:cs="Times New Roman"/>
          <w:iCs/>
          <w:sz w:val="24"/>
          <w:szCs w:val="24"/>
          <w:lang w:val="en-US"/>
        </w:rPr>
        <w:t>hree</w:t>
      </w:r>
      <w:r w:rsidR="00DF7BF6">
        <w:rPr>
          <w:rFonts w:ascii="Times New Roman" w:eastAsia="Times New Roman" w:hAnsi="Times New Roman" w:cs="Times New Roman"/>
          <w:iCs/>
          <w:sz w:val="24"/>
          <w:szCs w:val="24"/>
          <w:lang w:val="en-US"/>
        </w:rPr>
        <w:t xml:space="preserve"> notions are largely linked to the source</w:t>
      </w:r>
      <w:r w:rsidR="008329C1">
        <w:rPr>
          <w:rFonts w:ascii="Times New Roman" w:eastAsia="Times New Roman" w:hAnsi="Times New Roman" w:cs="Times New Roman"/>
          <w:iCs/>
          <w:sz w:val="24"/>
          <w:szCs w:val="24"/>
          <w:lang w:val="en-US"/>
        </w:rPr>
        <w:t xml:space="preserve"> and quality</w:t>
      </w:r>
      <w:r w:rsidR="00DF7BF6">
        <w:rPr>
          <w:rFonts w:ascii="Times New Roman" w:eastAsia="Times New Roman" w:hAnsi="Times New Roman" w:cs="Times New Roman"/>
          <w:iCs/>
          <w:sz w:val="24"/>
          <w:szCs w:val="24"/>
          <w:lang w:val="en-US"/>
        </w:rPr>
        <w:t xml:space="preserve"> of information, </w:t>
      </w:r>
      <w:r w:rsidR="00BA0751">
        <w:rPr>
          <w:rFonts w:ascii="Times New Roman" w:eastAsia="Times New Roman" w:hAnsi="Times New Roman" w:cs="Times New Roman"/>
          <w:iCs/>
          <w:sz w:val="24"/>
          <w:szCs w:val="24"/>
          <w:lang w:val="en-US"/>
        </w:rPr>
        <w:t xml:space="preserve">where the assessment of a national judge will be rather subjective. The </w:t>
      </w:r>
      <w:r w:rsidR="00DF7BF6">
        <w:rPr>
          <w:rFonts w:ascii="Times New Roman" w:eastAsia="Times New Roman" w:hAnsi="Times New Roman" w:cs="Times New Roman"/>
          <w:iCs/>
          <w:sz w:val="24"/>
          <w:szCs w:val="24"/>
          <w:lang w:val="en-US"/>
        </w:rPr>
        <w:t xml:space="preserve">fourth </w:t>
      </w:r>
      <w:r w:rsidR="00BA0751">
        <w:rPr>
          <w:rFonts w:ascii="Times New Roman" w:eastAsia="Times New Roman" w:hAnsi="Times New Roman" w:cs="Times New Roman"/>
          <w:iCs/>
          <w:sz w:val="24"/>
          <w:szCs w:val="24"/>
          <w:lang w:val="en-US"/>
        </w:rPr>
        <w:t xml:space="preserve">criterion </w:t>
      </w:r>
      <w:r w:rsidR="004B2F3E">
        <w:rPr>
          <w:rFonts w:ascii="Times New Roman" w:eastAsia="Times New Roman" w:hAnsi="Times New Roman" w:cs="Times New Roman"/>
          <w:iCs/>
          <w:sz w:val="24"/>
          <w:szCs w:val="24"/>
          <w:lang w:val="en-US"/>
        </w:rPr>
        <w:t xml:space="preserve">requires a more </w:t>
      </w:r>
      <w:r w:rsidR="00BA0751">
        <w:rPr>
          <w:rFonts w:ascii="Times New Roman" w:eastAsia="Times New Roman" w:hAnsi="Times New Roman" w:cs="Times New Roman"/>
          <w:iCs/>
          <w:sz w:val="24"/>
          <w:szCs w:val="24"/>
          <w:lang w:val="en-US"/>
        </w:rPr>
        <w:t xml:space="preserve">objective </w:t>
      </w:r>
      <w:r w:rsidR="00202A5D">
        <w:rPr>
          <w:rFonts w:ascii="Times New Roman" w:eastAsia="Times New Roman" w:hAnsi="Times New Roman" w:cs="Times New Roman"/>
          <w:iCs/>
          <w:sz w:val="24"/>
          <w:szCs w:val="24"/>
          <w:lang w:val="en-US"/>
        </w:rPr>
        <w:t>evaluation and, thu</w:t>
      </w:r>
      <w:r w:rsidR="00BA0751">
        <w:rPr>
          <w:rFonts w:ascii="Times New Roman" w:eastAsia="Times New Roman" w:hAnsi="Times New Roman" w:cs="Times New Roman"/>
          <w:iCs/>
          <w:sz w:val="24"/>
          <w:szCs w:val="24"/>
          <w:lang w:val="en-US"/>
        </w:rPr>
        <w:t>s</w:t>
      </w:r>
      <w:r w:rsidR="00202A5D">
        <w:rPr>
          <w:rFonts w:ascii="Times New Roman" w:eastAsia="Times New Roman" w:hAnsi="Times New Roman" w:cs="Times New Roman"/>
          <w:iCs/>
          <w:sz w:val="24"/>
          <w:szCs w:val="24"/>
          <w:lang w:val="en-US"/>
        </w:rPr>
        <w:t>, it remains</w:t>
      </w:r>
      <w:r w:rsidR="00BA0751">
        <w:rPr>
          <w:rFonts w:ascii="Times New Roman" w:eastAsia="Times New Roman" w:hAnsi="Times New Roman" w:cs="Times New Roman"/>
          <w:iCs/>
          <w:sz w:val="24"/>
          <w:szCs w:val="24"/>
          <w:lang w:val="en-US"/>
        </w:rPr>
        <w:t xml:space="preserve"> </w:t>
      </w:r>
      <w:r w:rsidR="00DF7BF6">
        <w:rPr>
          <w:rFonts w:ascii="Times New Roman" w:eastAsia="Times New Roman" w:hAnsi="Times New Roman" w:cs="Times New Roman"/>
          <w:iCs/>
          <w:sz w:val="24"/>
          <w:szCs w:val="24"/>
          <w:lang w:val="en-US"/>
        </w:rPr>
        <w:t xml:space="preserve">the easiest </w:t>
      </w:r>
      <w:r w:rsidR="00202A5D">
        <w:rPr>
          <w:rFonts w:ascii="Times New Roman" w:eastAsia="Times New Roman" w:hAnsi="Times New Roman" w:cs="Times New Roman"/>
          <w:iCs/>
          <w:sz w:val="24"/>
          <w:szCs w:val="24"/>
          <w:lang w:val="en-US"/>
        </w:rPr>
        <w:t>in this set</w:t>
      </w:r>
      <w:r w:rsidR="00DF7BF6">
        <w:rPr>
          <w:rFonts w:ascii="Times New Roman" w:eastAsia="Times New Roman" w:hAnsi="Times New Roman" w:cs="Times New Roman"/>
          <w:iCs/>
          <w:sz w:val="24"/>
          <w:szCs w:val="24"/>
          <w:lang w:val="en-US"/>
        </w:rPr>
        <w:t xml:space="preserve">. </w:t>
      </w:r>
      <w:r w:rsidR="00EA057D">
        <w:rPr>
          <w:rFonts w:ascii="Times New Roman" w:eastAsia="Times New Roman" w:hAnsi="Times New Roman" w:cs="Times New Roman"/>
          <w:iCs/>
          <w:sz w:val="24"/>
          <w:szCs w:val="24"/>
          <w:lang w:val="en-US"/>
        </w:rPr>
        <w:t>In practical terms, the key dilemma that the domestic judges face is whom to trust</w:t>
      </w:r>
      <w:r w:rsidR="001B07EB">
        <w:rPr>
          <w:rFonts w:ascii="Times New Roman" w:eastAsia="Times New Roman" w:hAnsi="Times New Roman" w:cs="Times New Roman"/>
          <w:iCs/>
          <w:sz w:val="24"/>
          <w:szCs w:val="24"/>
          <w:lang w:val="en-US"/>
        </w:rPr>
        <w:t>. To put it differently, wh</w:t>
      </w:r>
      <w:r w:rsidR="00C61B78">
        <w:rPr>
          <w:rFonts w:ascii="Times New Roman" w:eastAsia="Times New Roman" w:hAnsi="Times New Roman" w:cs="Times New Roman"/>
          <w:iCs/>
          <w:sz w:val="24"/>
          <w:szCs w:val="24"/>
          <w:lang w:val="en-US"/>
        </w:rPr>
        <w:t>ich</w:t>
      </w:r>
      <w:r w:rsidR="001B07EB">
        <w:rPr>
          <w:rFonts w:ascii="Times New Roman" w:eastAsia="Times New Roman" w:hAnsi="Times New Roman" w:cs="Times New Roman"/>
          <w:iCs/>
          <w:sz w:val="24"/>
          <w:szCs w:val="24"/>
          <w:lang w:val="en-US"/>
        </w:rPr>
        <w:t xml:space="preserve"> sources may be treated as trustworthy</w:t>
      </w:r>
      <w:r w:rsidR="00C61B78">
        <w:rPr>
          <w:rFonts w:ascii="Times New Roman" w:eastAsia="Times New Roman" w:hAnsi="Times New Roman" w:cs="Times New Roman"/>
          <w:iCs/>
          <w:sz w:val="24"/>
          <w:szCs w:val="24"/>
          <w:lang w:val="en-US"/>
        </w:rPr>
        <w:t>,</w:t>
      </w:r>
      <w:r w:rsidR="001B07EB">
        <w:rPr>
          <w:rFonts w:ascii="Times New Roman" w:eastAsia="Times New Roman" w:hAnsi="Times New Roman" w:cs="Times New Roman"/>
          <w:iCs/>
          <w:sz w:val="24"/>
          <w:szCs w:val="24"/>
          <w:lang w:val="en-US"/>
        </w:rPr>
        <w:t xml:space="preserve"> so that to guarantee that information meets the discussed requirements. The Court of Justice, seemingly aware of the matter in question, indicated</w:t>
      </w:r>
      <w:r w:rsidR="00C61B78">
        <w:rPr>
          <w:rFonts w:ascii="Times New Roman" w:eastAsia="Times New Roman" w:hAnsi="Times New Roman" w:cs="Times New Roman"/>
          <w:iCs/>
          <w:sz w:val="24"/>
          <w:szCs w:val="24"/>
          <w:lang w:val="en-US"/>
        </w:rPr>
        <w:t xml:space="preserve"> that</w:t>
      </w:r>
      <w:r w:rsidR="001B07EB">
        <w:rPr>
          <w:rFonts w:ascii="Times New Roman" w:eastAsia="Times New Roman" w:hAnsi="Times New Roman" w:cs="Times New Roman"/>
          <w:iCs/>
          <w:sz w:val="24"/>
          <w:szCs w:val="24"/>
          <w:lang w:val="en-US"/>
        </w:rPr>
        <w:t xml:space="preserve"> </w:t>
      </w:r>
      <w:r w:rsidR="00B562F0">
        <w:rPr>
          <w:rFonts w:ascii="Times New Roman" w:eastAsia="Times New Roman" w:hAnsi="Times New Roman" w:cs="Times New Roman"/>
          <w:iCs/>
          <w:sz w:val="24"/>
          <w:szCs w:val="24"/>
          <w:lang w:val="en-US"/>
        </w:rPr>
        <w:t>judgments of international courts as well as national courts may be taken into account. This, obviously, includes the judgments of the European Court of Human Rights. Furthermore, documents pro</w:t>
      </w:r>
      <w:r w:rsidR="00B30A88">
        <w:rPr>
          <w:rFonts w:ascii="Times New Roman" w:eastAsia="Times New Roman" w:hAnsi="Times New Roman" w:cs="Times New Roman"/>
          <w:iCs/>
          <w:sz w:val="24"/>
          <w:szCs w:val="24"/>
          <w:lang w:val="en-US"/>
        </w:rPr>
        <w:t xml:space="preserve">duced by Council of Europe or UN related authorities will also serve the purpose. Surely, the reports of the Committee for Prevention of Torture, operating within the Council of Europe, </w:t>
      </w:r>
      <w:r w:rsidR="00B53FAF">
        <w:rPr>
          <w:rFonts w:ascii="Times New Roman" w:eastAsia="Times New Roman" w:hAnsi="Times New Roman" w:cs="Times New Roman"/>
          <w:iCs/>
          <w:sz w:val="24"/>
          <w:szCs w:val="24"/>
          <w:lang w:val="en-US"/>
        </w:rPr>
        <w:t>can be of use. It should be noted, however, that t</w:t>
      </w:r>
      <w:r w:rsidR="00B30A88">
        <w:rPr>
          <w:rFonts w:ascii="Times New Roman" w:eastAsia="Times New Roman" w:hAnsi="Times New Roman" w:cs="Times New Roman"/>
          <w:iCs/>
          <w:sz w:val="24"/>
          <w:szCs w:val="24"/>
          <w:lang w:val="en-US"/>
        </w:rPr>
        <w:t>he list</w:t>
      </w:r>
      <w:r w:rsidR="00B53FAF">
        <w:rPr>
          <w:rFonts w:ascii="Times New Roman" w:eastAsia="Times New Roman" w:hAnsi="Times New Roman" w:cs="Times New Roman"/>
          <w:iCs/>
          <w:sz w:val="24"/>
          <w:szCs w:val="24"/>
          <w:lang w:val="en-US"/>
        </w:rPr>
        <w:t xml:space="preserve"> laid down in para. 89 of the judgment</w:t>
      </w:r>
      <w:r w:rsidR="00B30A88">
        <w:rPr>
          <w:rFonts w:ascii="Times New Roman" w:eastAsia="Times New Roman" w:hAnsi="Times New Roman" w:cs="Times New Roman"/>
          <w:iCs/>
          <w:sz w:val="24"/>
          <w:szCs w:val="24"/>
          <w:lang w:val="en-US"/>
        </w:rPr>
        <w:t xml:space="preserve"> is non-exhaustive. Hence, it is for national judges </w:t>
      </w:r>
      <w:r w:rsidR="00B53FAF">
        <w:rPr>
          <w:rFonts w:ascii="Times New Roman" w:eastAsia="Times New Roman" w:hAnsi="Times New Roman" w:cs="Times New Roman"/>
          <w:iCs/>
          <w:sz w:val="24"/>
          <w:szCs w:val="24"/>
          <w:lang w:val="en-US"/>
        </w:rPr>
        <w:t xml:space="preserve">to </w:t>
      </w:r>
      <w:r w:rsidR="00DB0554">
        <w:rPr>
          <w:rFonts w:ascii="Times New Roman" w:eastAsia="Times New Roman" w:hAnsi="Times New Roman" w:cs="Times New Roman"/>
          <w:iCs/>
          <w:sz w:val="24"/>
          <w:szCs w:val="24"/>
          <w:lang w:val="en-US"/>
        </w:rPr>
        <w:t xml:space="preserve">make a selection of sources of information when acting </w:t>
      </w:r>
      <w:r w:rsidR="00DB0554" w:rsidRPr="00DB0554">
        <w:rPr>
          <w:rFonts w:ascii="Times New Roman" w:eastAsia="Times New Roman" w:hAnsi="Times New Roman" w:cs="Times New Roman"/>
          <w:i/>
          <w:iCs/>
          <w:sz w:val="24"/>
          <w:szCs w:val="24"/>
          <w:lang w:val="en-US"/>
        </w:rPr>
        <w:t>ex officio</w:t>
      </w:r>
      <w:r w:rsidR="00DB0554">
        <w:rPr>
          <w:rFonts w:ascii="Times New Roman" w:eastAsia="Times New Roman" w:hAnsi="Times New Roman" w:cs="Times New Roman"/>
          <w:iCs/>
          <w:sz w:val="24"/>
          <w:szCs w:val="24"/>
          <w:lang w:val="en-US"/>
        </w:rPr>
        <w:t xml:space="preserve"> and to decide what kind of material submitted by defen</w:t>
      </w:r>
      <w:r w:rsidR="00115F18">
        <w:rPr>
          <w:rFonts w:ascii="Times New Roman" w:eastAsia="Times New Roman" w:hAnsi="Times New Roman" w:cs="Times New Roman"/>
          <w:iCs/>
          <w:sz w:val="24"/>
          <w:szCs w:val="24"/>
          <w:lang w:val="en-US"/>
        </w:rPr>
        <w:t>c</w:t>
      </w:r>
      <w:r w:rsidR="00DB0554">
        <w:rPr>
          <w:rFonts w:ascii="Times New Roman" w:eastAsia="Times New Roman" w:hAnsi="Times New Roman" w:cs="Times New Roman"/>
          <w:iCs/>
          <w:sz w:val="24"/>
          <w:szCs w:val="24"/>
          <w:lang w:val="en-US"/>
        </w:rPr>
        <w:t xml:space="preserve">e lawyers should be treated as credible. </w:t>
      </w:r>
      <w:r w:rsidR="00135D9B">
        <w:rPr>
          <w:rFonts w:ascii="Times New Roman" w:eastAsia="Times New Roman" w:hAnsi="Times New Roman" w:cs="Times New Roman"/>
          <w:iCs/>
          <w:sz w:val="24"/>
          <w:szCs w:val="24"/>
          <w:lang w:val="en-US"/>
        </w:rPr>
        <w:t xml:space="preserve">It leaves it open whether </w:t>
      </w:r>
      <w:r w:rsidR="00FD1BBE">
        <w:rPr>
          <w:rFonts w:ascii="Times New Roman" w:eastAsia="Times New Roman" w:hAnsi="Times New Roman" w:cs="Times New Roman"/>
          <w:iCs/>
          <w:sz w:val="24"/>
          <w:szCs w:val="24"/>
          <w:lang w:val="en-US"/>
        </w:rPr>
        <w:t xml:space="preserve">sources coming from NGOs, local or international, should be considered by national judges as “objective” and “reliable”. </w:t>
      </w:r>
    </w:p>
    <w:p w14:paraId="4B0E99F4" w14:textId="77777777" w:rsidR="00135D9B" w:rsidRDefault="00135D9B" w:rsidP="00DF7BF6">
      <w:pPr>
        <w:pStyle w:val="Default"/>
        <w:jc w:val="both"/>
        <w:rPr>
          <w:rFonts w:ascii="Times New Roman" w:eastAsia="Times New Roman" w:hAnsi="Times New Roman" w:cs="Times New Roman"/>
          <w:iCs/>
          <w:sz w:val="24"/>
          <w:szCs w:val="24"/>
          <w:lang w:val="en-US"/>
        </w:rPr>
      </w:pPr>
    </w:p>
    <w:p w14:paraId="1AD6727A" w14:textId="02280644" w:rsidR="00DF7BF6" w:rsidRDefault="009F7BED" w:rsidP="00DF7BF6">
      <w:pPr>
        <w:pStyle w:val="Default"/>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lang w:val="en-US"/>
        </w:rPr>
        <w:t xml:space="preserve">From the academic point of view, one may conclude that the Court of Justice found the balance between providing assistance to national courts and leaving them a solid margin of discretion. In reality, however, </w:t>
      </w:r>
      <w:r w:rsidR="008230EB">
        <w:rPr>
          <w:rFonts w:ascii="Times New Roman" w:eastAsia="Times New Roman" w:hAnsi="Times New Roman" w:cs="Times New Roman"/>
          <w:iCs/>
          <w:sz w:val="24"/>
          <w:szCs w:val="24"/>
          <w:lang w:val="en-US"/>
        </w:rPr>
        <w:t xml:space="preserve">the conclusions of the Court are based on a rather optimistic presumption that national judges are </w:t>
      </w:r>
      <w:r w:rsidR="005C7DCF" w:rsidRPr="005D5C1A">
        <w:rPr>
          <w:rFonts w:ascii="Times New Roman" w:eastAsia="Times New Roman" w:hAnsi="Times New Roman" w:cs="Times New Roman"/>
          <w:i/>
          <w:sz w:val="24"/>
          <w:szCs w:val="24"/>
        </w:rPr>
        <w:t>au courant</w:t>
      </w:r>
      <w:r w:rsidR="007A055E" w:rsidRPr="007A055E">
        <w:rPr>
          <w:rFonts w:ascii="Times New Roman" w:eastAsia="Times New Roman" w:hAnsi="Times New Roman" w:cs="Times New Roman"/>
          <w:sz w:val="24"/>
          <w:szCs w:val="24"/>
        </w:rPr>
        <w:t>, for instance,</w:t>
      </w:r>
      <w:r w:rsidR="007A055E">
        <w:rPr>
          <w:rFonts w:ascii="Times New Roman" w:eastAsia="Times New Roman" w:hAnsi="Times New Roman" w:cs="Times New Roman"/>
          <w:i/>
          <w:sz w:val="24"/>
          <w:szCs w:val="24"/>
        </w:rPr>
        <w:t xml:space="preserve"> </w:t>
      </w:r>
      <w:r w:rsidR="005C7DCF">
        <w:rPr>
          <w:rFonts w:ascii="Times New Roman" w:eastAsia="Times New Roman" w:hAnsi="Times New Roman" w:cs="Times New Roman"/>
          <w:sz w:val="24"/>
          <w:szCs w:val="24"/>
        </w:rPr>
        <w:t xml:space="preserve">with jurisprudence of the European Court of Human Rights </w:t>
      </w:r>
      <w:r w:rsidR="007A055E">
        <w:rPr>
          <w:rFonts w:ascii="Times New Roman" w:eastAsia="Times New Roman" w:hAnsi="Times New Roman" w:cs="Times New Roman"/>
          <w:sz w:val="24"/>
          <w:szCs w:val="24"/>
        </w:rPr>
        <w:t>or</w:t>
      </w:r>
      <w:r w:rsidR="005C7DCF">
        <w:rPr>
          <w:rFonts w:ascii="Times New Roman" w:eastAsia="Times New Roman" w:hAnsi="Times New Roman" w:cs="Times New Roman"/>
          <w:sz w:val="24"/>
          <w:szCs w:val="24"/>
        </w:rPr>
        <w:t xml:space="preserve"> outputs of such outlets as already mentioned Committee for Prevention of Torture. It is also based on a presumption that </w:t>
      </w:r>
      <w:r w:rsidR="000722B0">
        <w:rPr>
          <w:rFonts w:ascii="Times New Roman" w:eastAsia="Times New Roman" w:hAnsi="Times New Roman" w:cs="Times New Roman"/>
          <w:sz w:val="24"/>
          <w:szCs w:val="24"/>
        </w:rPr>
        <w:t xml:space="preserve">national judges and their clerks are fluent in foreign languages. </w:t>
      </w:r>
      <w:r w:rsidR="00524A0E">
        <w:rPr>
          <w:rFonts w:ascii="Times New Roman" w:eastAsia="Times New Roman" w:hAnsi="Times New Roman" w:cs="Times New Roman"/>
          <w:sz w:val="24"/>
          <w:szCs w:val="24"/>
        </w:rPr>
        <w:t>This is particularly relevant for the matter at hand as the language regime of the Council of Europe is rather modest when compared to the European Union. To put it differently, judgments or reports</w:t>
      </w:r>
      <w:r w:rsidR="00BE2FB5">
        <w:rPr>
          <w:rFonts w:ascii="Times New Roman" w:eastAsia="Times New Roman" w:hAnsi="Times New Roman" w:cs="Times New Roman"/>
          <w:sz w:val="24"/>
          <w:szCs w:val="24"/>
        </w:rPr>
        <w:t xml:space="preserve"> are not – as a rule – translated </w:t>
      </w:r>
      <w:proofErr w:type="spellStart"/>
      <w:r w:rsidR="00BE2FB5" w:rsidRPr="000A3CF4">
        <w:rPr>
          <w:rFonts w:ascii="Times New Roman" w:eastAsia="Times New Roman" w:hAnsi="Times New Roman" w:cs="Times New Roman"/>
          <w:i/>
          <w:sz w:val="24"/>
          <w:szCs w:val="24"/>
        </w:rPr>
        <w:t>en</w:t>
      </w:r>
      <w:proofErr w:type="spellEnd"/>
      <w:r w:rsidR="00BE2FB5" w:rsidRPr="000A3CF4">
        <w:rPr>
          <w:rFonts w:ascii="Times New Roman" w:eastAsia="Times New Roman" w:hAnsi="Times New Roman" w:cs="Times New Roman"/>
          <w:i/>
          <w:sz w:val="24"/>
          <w:szCs w:val="24"/>
        </w:rPr>
        <w:t xml:space="preserve"> masse</w:t>
      </w:r>
      <w:r w:rsidR="00BE2FB5">
        <w:rPr>
          <w:rFonts w:ascii="Times New Roman" w:eastAsia="Times New Roman" w:hAnsi="Times New Roman" w:cs="Times New Roman"/>
          <w:sz w:val="24"/>
          <w:szCs w:val="24"/>
        </w:rPr>
        <w:t xml:space="preserve"> into languages of all members of Council of Europe. </w:t>
      </w:r>
      <w:r w:rsidR="000A3CF4">
        <w:rPr>
          <w:rFonts w:ascii="Times New Roman" w:eastAsia="Times New Roman" w:hAnsi="Times New Roman" w:cs="Times New Roman"/>
          <w:sz w:val="24"/>
          <w:szCs w:val="24"/>
        </w:rPr>
        <w:t xml:space="preserve">A reminder is fitting, that the EAW proceedings are subject to a very tight time regime leaving very little space for translation. </w:t>
      </w:r>
    </w:p>
    <w:p w14:paraId="74A299DC" w14:textId="77777777" w:rsidR="00524A0E" w:rsidRPr="005C7DCF" w:rsidRDefault="00524A0E" w:rsidP="00DF7BF6">
      <w:pPr>
        <w:pStyle w:val="Default"/>
        <w:jc w:val="both"/>
        <w:rPr>
          <w:rFonts w:ascii="Times New Roman" w:eastAsia="Times New Roman" w:hAnsi="Times New Roman" w:cs="Times New Roman"/>
          <w:sz w:val="24"/>
          <w:szCs w:val="24"/>
        </w:rPr>
      </w:pPr>
    </w:p>
    <w:p w14:paraId="0D1EC4A5" w14:textId="667E9C2C" w:rsidR="008E7E2B" w:rsidRDefault="008E7E2B" w:rsidP="000D77B8">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already mentioned, the</w:t>
      </w:r>
      <w:r w:rsidR="000D1B93">
        <w:rPr>
          <w:rFonts w:ascii="Times New Roman" w:eastAsia="Times New Roman" w:hAnsi="Times New Roman" w:cs="Times New Roman"/>
          <w:sz w:val="24"/>
          <w:szCs w:val="24"/>
        </w:rPr>
        <w:t xml:space="preserve"> Court of Justice requires the information to be “specific”, which – again – may be considered as</w:t>
      </w:r>
      <w:r w:rsidR="008F3F2C">
        <w:rPr>
          <w:rFonts w:ascii="Times New Roman" w:eastAsia="Times New Roman" w:hAnsi="Times New Roman" w:cs="Times New Roman"/>
          <w:sz w:val="24"/>
          <w:szCs w:val="24"/>
        </w:rPr>
        <w:t xml:space="preserve"> problematic</w:t>
      </w:r>
      <w:r w:rsidR="000D1B93">
        <w:rPr>
          <w:rFonts w:ascii="Times New Roman" w:eastAsia="Times New Roman" w:hAnsi="Times New Roman" w:cs="Times New Roman"/>
          <w:sz w:val="24"/>
          <w:szCs w:val="24"/>
        </w:rPr>
        <w:t xml:space="preserve">. </w:t>
      </w:r>
      <w:r w:rsidR="00DB7A8A">
        <w:rPr>
          <w:rFonts w:ascii="Times New Roman" w:eastAsia="Times New Roman" w:hAnsi="Times New Roman" w:cs="Times New Roman"/>
          <w:sz w:val="24"/>
          <w:szCs w:val="24"/>
        </w:rPr>
        <w:t xml:space="preserve">A simple question emerges as to what is specific enough to satisfy the test. </w:t>
      </w:r>
      <w:r w:rsidR="00A53E9B">
        <w:rPr>
          <w:rFonts w:ascii="Times New Roman" w:eastAsia="Times New Roman" w:hAnsi="Times New Roman" w:cs="Times New Roman"/>
          <w:sz w:val="24"/>
          <w:szCs w:val="24"/>
        </w:rPr>
        <w:t>Would the level of detail</w:t>
      </w:r>
      <w:r w:rsidR="0084429E">
        <w:rPr>
          <w:rFonts w:ascii="Times New Roman" w:eastAsia="Times New Roman" w:hAnsi="Times New Roman" w:cs="Times New Roman"/>
          <w:sz w:val="24"/>
          <w:szCs w:val="24"/>
        </w:rPr>
        <w:t xml:space="preserve"> required by national judge</w:t>
      </w:r>
      <w:r w:rsidR="00A53E9B">
        <w:rPr>
          <w:rFonts w:ascii="Times New Roman" w:eastAsia="Times New Roman" w:hAnsi="Times New Roman" w:cs="Times New Roman"/>
          <w:sz w:val="24"/>
          <w:szCs w:val="24"/>
        </w:rPr>
        <w:t xml:space="preserve"> depend on a </w:t>
      </w:r>
      <w:r w:rsidR="0084429E">
        <w:rPr>
          <w:rFonts w:ascii="Times New Roman" w:eastAsia="Times New Roman" w:hAnsi="Times New Roman" w:cs="Times New Roman"/>
          <w:sz w:val="24"/>
          <w:szCs w:val="24"/>
        </w:rPr>
        <w:t xml:space="preserve">particular requesting </w:t>
      </w:r>
      <w:r w:rsidR="00A53E9B">
        <w:rPr>
          <w:rFonts w:ascii="Times New Roman" w:eastAsia="Times New Roman" w:hAnsi="Times New Roman" w:cs="Times New Roman"/>
          <w:sz w:val="24"/>
          <w:szCs w:val="24"/>
        </w:rPr>
        <w:t xml:space="preserve">country? </w:t>
      </w:r>
      <w:r w:rsidR="00163AEE">
        <w:rPr>
          <w:rFonts w:ascii="Times New Roman" w:eastAsia="Times New Roman" w:hAnsi="Times New Roman" w:cs="Times New Roman"/>
          <w:sz w:val="24"/>
          <w:szCs w:val="24"/>
        </w:rPr>
        <w:t xml:space="preserve">For instance, should the level of detail correspond to the level of trust in the judiciary, law enforcement apparatus and detention conditions in the requesting country? </w:t>
      </w:r>
      <w:r w:rsidR="00AC755A">
        <w:rPr>
          <w:rFonts w:ascii="Times New Roman" w:eastAsia="Times New Roman" w:hAnsi="Times New Roman" w:cs="Times New Roman"/>
          <w:sz w:val="24"/>
          <w:szCs w:val="24"/>
        </w:rPr>
        <w:t xml:space="preserve">To put it differently, should less trust translate into higher level of detail required to meet the test? </w:t>
      </w:r>
      <w:r w:rsidR="008624BF">
        <w:rPr>
          <w:rFonts w:ascii="Times New Roman" w:eastAsia="Times New Roman" w:hAnsi="Times New Roman" w:cs="Times New Roman"/>
          <w:sz w:val="24"/>
          <w:szCs w:val="24"/>
        </w:rPr>
        <w:t xml:space="preserve">It has been left to the national practice to decide. </w:t>
      </w:r>
    </w:p>
    <w:p w14:paraId="449FE47A" w14:textId="66F6BF2A" w:rsidR="008E7E2B" w:rsidRDefault="008E7E2B" w:rsidP="000D77B8">
      <w:pPr>
        <w:pStyle w:val="Default"/>
        <w:jc w:val="both"/>
        <w:rPr>
          <w:rFonts w:ascii="Times New Roman" w:eastAsia="Times New Roman" w:hAnsi="Times New Roman" w:cs="Times New Roman"/>
          <w:sz w:val="24"/>
          <w:szCs w:val="24"/>
        </w:rPr>
      </w:pPr>
    </w:p>
    <w:p w14:paraId="2310AD7D" w14:textId="2D1188A3" w:rsidR="005D0C60" w:rsidRDefault="005D0C60" w:rsidP="000D77B8">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w:t>
      </w:r>
      <w:r w:rsidR="000F6122">
        <w:rPr>
          <w:rFonts w:ascii="Times New Roman" w:eastAsia="Times New Roman" w:hAnsi="Times New Roman" w:cs="Times New Roman"/>
          <w:sz w:val="24"/>
          <w:szCs w:val="24"/>
        </w:rPr>
        <w:t xml:space="preserve">the “objective, reliable, specific and properly updated [information] on detention conditions” is collected the executing authority </w:t>
      </w:r>
      <w:r w:rsidR="00657DDF">
        <w:rPr>
          <w:rFonts w:ascii="Times New Roman" w:eastAsia="Times New Roman" w:hAnsi="Times New Roman" w:cs="Times New Roman"/>
          <w:sz w:val="24"/>
          <w:szCs w:val="24"/>
        </w:rPr>
        <w:t>needs to determine whether there is “a real risk of inhuman or degrading treatment by virtue of general conditions of detention in the issuing Member State”</w:t>
      </w:r>
      <w:r w:rsidR="002E17BD">
        <w:rPr>
          <w:rFonts w:ascii="Times New Roman" w:eastAsia="Times New Roman" w:hAnsi="Times New Roman" w:cs="Times New Roman"/>
          <w:sz w:val="24"/>
          <w:szCs w:val="24"/>
        </w:rPr>
        <w:t xml:space="preserve">. </w:t>
      </w:r>
      <w:r w:rsidR="002E13F2">
        <w:rPr>
          <w:rFonts w:ascii="Times New Roman" w:eastAsia="Times New Roman" w:hAnsi="Times New Roman" w:cs="Times New Roman"/>
          <w:sz w:val="24"/>
          <w:szCs w:val="24"/>
        </w:rPr>
        <w:t xml:space="preserve">If there is no such risk, then the domestic authority has to proceed with the execution of the European Arrest Warrant (providing there are no other grounds for refusal to surrender). If, however, systemic or generalised deficiencies existing, their </w:t>
      </w:r>
      <w:r w:rsidR="002E17BD">
        <w:rPr>
          <w:rFonts w:ascii="Times New Roman" w:eastAsia="Times New Roman" w:hAnsi="Times New Roman" w:cs="Times New Roman"/>
          <w:sz w:val="24"/>
          <w:szCs w:val="24"/>
        </w:rPr>
        <w:t>existence is not</w:t>
      </w:r>
      <w:r w:rsidR="0066567F">
        <w:rPr>
          <w:rFonts w:ascii="Times New Roman" w:eastAsia="Times New Roman" w:hAnsi="Times New Roman" w:cs="Times New Roman"/>
          <w:sz w:val="24"/>
          <w:szCs w:val="24"/>
        </w:rPr>
        <w:t xml:space="preserve"> </w:t>
      </w:r>
      <w:r w:rsidR="0066567F" w:rsidRPr="00205558">
        <w:rPr>
          <w:rFonts w:ascii="Times New Roman" w:eastAsia="Times New Roman" w:hAnsi="Times New Roman" w:cs="Times New Roman"/>
          <w:i/>
          <w:sz w:val="24"/>
          <w:szCs w:val="24"/>
        </w:rPr>
        <w:t>per se</w:t>
      </w:r>
      <w:r w:rsidR="0066567F">
        <w:rPr>
          <w:rFonts w:ascii="Times New Roman" w:eastAsia="Times New Roman" w:hAnsi="Times New Roman" w:cs="Times New Roman"/>
          <w:sz w:val="24"/>
          <w:szCs w:val="24"/>
        </w:rPr>
        <w:t xml:space="preserve"> an indication that a person, whose </w:t>
      </w:r>
      <w:r w:rsidR="00F64F0C">
        <w:rPr>
          <w:rFonts w:ascii="Times New Roman" w:eastAsia="Times New Roman" w:hAnsi="Times New Roman" w:cs="Times New Roman"/>
          <w:sz w:val="24"/>
          <w:szCs w:val="24"/>
        </w:rPr>
        <w:t xml:space="preserve">is subject of a </w:t>
      </w:r>
      <w:r w:rsidR="0066567F">
        <w:rPr>
          <w:rFonts w:ascii="Times New Roman" w:eastAsia="Times New Roman" w:hAnsi="Times New Roman" w:cs="Times New Roman"/>
          <w:sz w:val="24"/>
          <w:szCs w:val="24"/>
        </w:rPr>
        <w:t>European Arrest Warrant</w:t>
      </w:r>
      <w:r w:rsidR="00F64F0C">
        <w:rPr>
          <w:rFonts w:ascii="Times New Roman" w:eastAsia="Times New Roman" w:hAnsi="Times New Roman" w:cs="Times New Roman"/>
          <w:sz w:val="24"/>
          <w:szCs w:val="24"/>
        </w:rPr>
        <w:t>,</w:t>
      </w:r>
      <w:r w:rsidR="0066567F">
        <w:rPr>
          <w:rFonts w:ascii="Times New Roman" w:eastAsia="Times New Roman" w:hAnsi="Times New Roman" w:cs="Times New Roman"/>
          <w:sz w:val="24"/>
          <w:szCs w:val="24"/>
        </w:rPr>
        <w:t xml:space="preserve"> will be exposed to</w:t>
      </w:r>
      <w:r w:rsidR="00D06A6A">
        <w:rPr>
          <w:rFonts w:ascii="Times New Roman" w:eastAsia="Times New Roman" w:hAnsi="Times New Roman" w:cs="Times New Roman"/>
          <w:sz w:val="24"/>
          <w:szCs w:val="24"/>
        </w:rPr>
        <w:t xml:space="preserve"> a</w:t>
      </w:r>
      <w:r w:rsidR="0066567F">
        <w:rPr>
          <w:rFonts w:ascii="Times New Roman" w:eastAsia="Times New Roman" w:hAnsi="Times New Roman" w:cs="Times New Roman"/>
          <w:sz w:val="24"/>
          <w:szCs w:val="24"/>
        </w:rPr>
        <w:t xml:space="preserve"> treatment that would be in breach of Article 4 of the Charter of Fundamental Rights. </w:t>
      </w:r>
      <w:r w:rsidR="00320DB6">
        <w:rPr>
          <w:rFonts w:ascii="Times New Roman" w:eastAsia="Times New Roman" w:hAnsi="Times New Roman" w:cs="Times New Roman"/>
          <w:sz w:val="24"/>
          <w:szCs w:val="24"/>
        </w:rPr>
        <w:t xml:space="preserve">This needs to be determined </w:t>
      </w:r>
      <w:r w:rsidR="000419E5">
        <w:rPr>
          <w:rFonts w:ascii="Times New Roman" w:eastAsia="Times New Roman" w:hAnsi="Times New Roman" w:cs="Times New Roman"/>
          <w:sz w:val="24"/>
          <w:szCs w:val="24"/>
        </w:rPr>
        <w:t xml:space="preserve">by the executing authority separately by liaising with its counterparts in the </w:t>
      </w:r>
      <w:r w:rsidR="00F87C77">
        <w:rPr>
          <w:rFonts w:ascii="Times New Roman" w:eastAsia="Times New Roman" w:hAnsi="Times New Roman" w:cs="Times New Roman"/>
          <w:sz w:val="24"/>
          <w:szCs w:val="24"/>
        </w:rPr>
        <w:t xml:space="preserve">requesting country. </w:t>
      </w:r>
      <w:r w:rsidR="0065793E">
        <w:rPr>
          <w:rFonts w:ascii="Times New Roman" w:eastAsia="Times New Roman" w:hAnsi="Times New Roman" w:cs="Times New Roman"/>
          <w:sz w:val="24"/>
          <w:szCs w:val="24"/>
        </w:rPr>
        <w:t xml:space="preserve">For that purpose, the procedural mechanism laid down in Article 15(2) of the EAW Framework Decision should be employed. </w:t>
      </w:r>
      <w:r w:rsidR="004402BA">
        <w:rPr>
          <w:rFonts w:ascii="Times New Roman" w:eastAsia="Times New Roman" w:hAnsi="Times New Roman" w:cs="Times New Roman"/>
          <w:sz w:val="24"/>
          <w:szCs w:val="24"/>
        </w:rPr>
        <w:t>The</w:t>
      </w:r>
      <w:r w:rsidR="0065793E">
        <w:rPr>
          <w:rFonts w:ascii="Times New Roman" w:eastAsia="Times New Roman" w:hAnsi="Times New Roman" w:cs="Times New Roman"/>
          <w:sz w:val="24"/>
          <w:szCs w:val="24"/>
        </w:rPr>
        <w:t xml:space="preserve"> Court of Justice </w:t>
      </w:r>
      <w:r w:rsidR="004402BA">
        <w:rPr>
          <w:rFonts w:ascii="Times New Roman" w:eastAsia="Times New Roman" w:hAnsi="Times New Roman" w:cs="Times New Roman"/>
          <w:sz w:val="24"/>
          <w:szCs w:val="24"/>
        </w:rPr>
        <w:t xml:space="preserve">clarified, </w:t>
      </w:r>
      <w:r w:rsidR="00B73400">
        <w:rPr>
          <w:rFonts w:ascii="Times New Roman" w:eastAsia="Times New Roman" w:hAnsi="Times New Roman" w:cs="Times New Roman"/>
          <w:sz w:val="24"/>
          <w:szCs w:val="24"/>
        </w:rPr>
        <w:t>in very general fashion</w:t>
      </w:r>
      <w:r w:rsidR="004402BA">
        <w:rPr>
          <w:rFonts w:ascii="Times New Roman" w:eastAsia="Times New Roman" w:hAnsi="Times New Roman" w:cs="Times New Roman"/>
          <w:sz w:val="24"/>
          <w:szCs w:val="24"/>
        </w:rPr>
        <w:t xml:space="preserve">, that </w:t>
      </w:r>
      <w:r w:rsidR="008E49A2">
        <w:rPr>
          <w:rFonts w:ascii="Times New Roman" w:eastAsia="Times New Roman" w:hAnsi="Times New Roman" w:cs="Times New Roman"/>
          <w:sz w:val="24"/>
          <w:szCs w:val="24"/>
        </w:rPr>
        <w:t>the evidence obtained must, again, be “objective, reliable, specific and properly updated”</w:t>
      </w:r>
      <w:r w:rsidR="00D93B3B">
        <w:rPr>
          <w:rFonts w:ascii="Times New Roman" w:eastAsia="Times New Roman" w:hAnsi="Times New Roman" w:cs="Times New Roman"/>
          <w:sz w:val="24"/>
          <w:szCs w:val="24"/>
        </w:rPr>
        <w:t xml:space="preserve"> in order to verify if there are “substantial grounds” to believe that a person in question “will run a real risk” of being subject to inhuman or degrading treatment.</w:t>
      </w:r>
      <w:r w:rsidR="00B66497">
        <w:rPr>
          <w:rStyle w:val="FootnoteReference"/>
          <w:rFonts w:ascii="Times New Roman" w:eastAsia="Times New Roman" w:hAnsi="Times New Roman" w:cs="Times New Roman"/>
          <w:sz w:val="24"/>
          <w:szCs w:val="24"/>
        </w:rPr>
        <w:footnoteReference w:id="51"/>
      </w:r>
      <w:r w:rsidR="00D93B3B">
        <w:rPr>
          <w:rFonts w:ascii="Times New Roman" w:eastAsia="Times New Roman" w:hAnsi="Times New Roman" w:cs="Times New Roman"/>
          <w:sz w:val="24"/>
          <w:szCs w:val="24"/>
        </w:rPr>
        <w:t xml:space="preserve"> </w:t>
      </w:r>
      <w:r w:rsidR="00B73400">
        <w:rPr>
          <w:rFonts w:ascii="Times New Roman" w:eastAsia="Times New Roman" w:hAnsi="Times New Roman" w:cs="Times New Roman"/>
          <w:sz w:val="24"/>
          <w:szCs w:val="24"/>
        </w:rPr>
        <w:t xml:space="preserve">It may include information about </w:t>
      </w:r>
      <w:proofErr w:type="spellStart"/>
      <w:r w:rsidR="00DC0D42" w:rsidRPr="00DC0D42">
        <w:rPr>
          <w:rFonts w:ascii="Times New Roman" w:eastAsia="Times New Roman" w:hAnsi="Times New Roman" w:cs="Times New Roman"/>
          <w:i/>
          <w:sz w:val="24"/>
          <w:szCs w:val="24"/>
        </w:rPr>
        <w:t>modi</w:t>
      </w:r>
      <w:proofErr w:type="spellEnd"/>
      <w:r w:rsidR="00DC0D42" w:rsidRPr="00DC0D42">
        <w:rPr>
          <w:rFonts w:ascii="Times New Roman" w:eastAsia="Times New Roman" w:hAnsi="Times New Roman" w:cs="Times New Roman"/>
          <w:i/>
          <w:sz w:val="24"/>
          <w:szCs w:val="24"/>
        </w:rPr>
        <w:t xml:space="preserve"> operandi</w:t>
      </w:r>
      <w:r w:rsidR="00DC0D42">
        <w:rPr>
          <w:rFonts w:ascii="Times New Roman" w:eastAsia="Times New Roman" w:hAnsi="Times New Roman" w:cs="Times New Roman"/>
          <w:sz w:val="24"/>
          <w:szCs w:val="24"/>
        </w:rPr>
        <w:t xml:space="preserve"> for monitoring of detention conditions. However, </w:t>
      </w:r>
      <w:r w:rsidR="002B6E06">
        <w:rPr>
          <w:rFonts w:ascii="Times New Roman" w:eastAsia="Times New Roman" w:hAnsi="Times New Roman" w:cs="Times New Roman"/>
          <w:sz w:val="24"/>
          <w:szCs w:val="24"/>
        </w:rPr>
        <w:t xml:space="preserve">all other details are left to the decision of national judges, which – in itself – opens a </w:t>
      </w:r>
      <w:r w:rsidR="00AD0261">
        <w:rPr>
          <w:rFonts w:ascii="Times New Roman" w:eastAsia="Times New Roman" w:hAnsi="Times New Roman" w:cs="Times New Roman"/>
          <w:sz w:val="24"/>
          <w:szCs w:val="24"/>
        </w:rPr>
        <w:t xml:space="preserve">host of problems and challenges. </w:t>
      </w:r>
      <w:r w:rsidR="00672477">
        <w:rPr>
          <w:rFonts w:ascii="Times New Roman" w:eastAsia="Times New Roman" w:hAnsi="Times New Roman" w:cs="Times New Roman"/>
          <w:sz w:val="24"/>
          <w:szCs w:val="24"/>
        </w:rPr>
        <w:t xml:space="preserve">For instance, how detailed such a request for </w:t>
      </w:r>
      <w:r w:rsidR="004967DE">
        <w:rPr>
          <w:rFonts w:ascii="Times New Roman" w:eastAsia="Times New Roman" w:hAnsi="Times New Roman" w:cs="Times New Roman"/>
          <w:sz w:val="24"/>
          <w:szCs w:val="24"/>
        </w:rPr>
        <w:t xml:space="preserve">supplementary information should be and should the national court of the requesting country be trusted blindly. </w:t>
      </w:r>
      <w:r w:rsidR="003C7FD5">
        <w:rPr>
          <w:rFonts w:ascii="Times New Roman" w:eastAsia="Times New Roman" w:hAnsi="Times New Roman" w:cs="Times New Roman"/>
          <w:sz w:val="24"/>
          <w:szCs w:val="24"/>
        </w:rPr>
        <w:t xml:space="preserve">Not surprisingly, the matters in question have returned to the Court of Justice like a boomerang in cases discussed later in the present </w:t>
      </w:r>
      <w:r w:rsidR="00DB4036">
        <w:rPr>
          <w:rFonts w:ascii="Times New Roman" w:eastAsia="Times New Roman" w:hAnsi="Times New Roman" w:cs="Times New Roman"/>
          <w:sz w:val="24"/>
          <w:szCs w:val="24"/>
        </w:rPr>
        <w:t>article</w:t>
      </w:r>
      <w:r w:rsidR="003C7FD5">
        <w:rPr>
          <w:rFonts w:ascii="Times New Roman" w:eastAsia="Times New Roman" w:hAnsi="Times New Roman" w:cs="Times New Roman"/>
          <w:sz w:val="24"/>
          <w:szCs w:val="24"/>
        </w:rPr>
        <w:t xml:space="preserve">. </w:t>
      </w:r>
    </w:p>
    <w:p w14:paraId="0714D0A2" w14:textId="44949D6F" w:rsidR="00657DDF" w:rsidRDefault="00657DDF" w:rsidP="000D77B8">
      <w:pPr>
        <w:pStyle w:val="Default"/>
        <w:jc w:val="both"/>
        <w:rPr>
          <w:rFonts w:ascii="Times New Roman" w:eastAsia="Times New Roman" w:hAnsi="Times New Roman" w:cs="Times New Roman"/>
          <w:sz w:val="24"/>
          <w:szCs w:val="24"/>
        </w:rPr>
      </w:pPr>
    </w:p>
    <w:p w14:paraId="14688936" w14:textId="70A38243" w:rsidR="00657DDF" w:rsidRDefault="00270C9F" w:rsidP="000D77B8">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all necessary general and individualised information is in place it is for the national executing authority to decide whether to surrender the person in question or not. </w:t>
      </w:r>
      <w:r w:rsidR="001677C6">
        <w:rPr>
          <w:rFonts w:ascii="Times New Roman" w:eastAsia="Times New Roman" w:hAnsi="Times New Roman" w:cs="Times New Roman"/>
          <w:sz w:val="24"/>
          <w:szCs w:val="24"/>
        </w:rPr>
        <w:t xml:space="preserve">In this respect, the Court of Justice has provided general guidance how the domestic judges should proceed. </w:t>
      </w:r>
      <w:r w:rsidR="00481A75">
        <w:rPr>
          <w:rFonts w:ascii="Times New Roman" w:eastAsia="Times New Roman" w:hAnsi="Times New Roman" w:cs="Times New Roman"/>
          <w:sz w:val="24"/>
          <w:szCs w:val="24"/>
        </w:rPr>
        <w:t xml:space="preserve">Should the conclusion be that there is a “real risk of inhuman or degrading treatment” the execution of the European Arrest Warrant must be postponed. However, </w:t>
      </w:r>
      <w:r w:rsidR="00410530">
        <w:rPr>
          <w:rFonts w:ascii="Times New Roman" w:eastAsia="Times New Roman" w:hAnsi="Times New Roman" w:cs="Times New Roman"/>
          <w:sz w:val="24"/>
          <w:szCs w:val="24"/>
        </w:rPr>
        <w:t>as the Court of Justice phrased it, the execution “cannot be abandoned”.</w:t>
      </w:r>
      <w:r w:rsidR="00410530">
        <w:rPr>
          <w:rStyle w:val="FootnoteReference"/>
          <w:rFonts w:ascii="Times New Roman" w:eastAsia="Times New Roman" w:hAnsi="Times New Roman" w:cs="Times New Roman"/>
          <w:sz w:val="24"/>
          <w:szCs w:val="24"/>
        </w:rPr>
        <w:footnoteReference w:id="52"/>
      </w:r>
      <w:r w:rsidR="00410530">
        <w:rPr>
          <w:rFonts w:ascii="Times New Roman" w:eastAsia="Times New Roman" w:hAnsi="Times New Roman" w:cs="Times New Roman"/>
          <w:sz w:val="24"/>
          <w:szCs w:val="24"/>
        </w:rPr>
        <w:t xml:space="preserve"> </w:t>
      </w:r>
      <w:r w:rsidR="00695F2F">
        <w:rPr>
          <w:rFonts w:ascii="Times New Roman" w:eastAsia="Times New Roman" w:hAnsi="Times New Roman" w:cs="Times New Roman"/>
          <w:sz w:val="24"/>
          <w:szCs w:val="24"/>
        </w:rPr>
        <w:t>On the one hand, the p</w:t>
      </w:r>
      <w:r w:rsidR="007D617F">
        <w:rPr>
          <w:rFonts w:ascii="Times New Roman" w:eastAsia="Times New Roman" w:hAnsi="Times New Roman" w:cs="Times New Roman"/>
          <w:sz w:val="24"/>
          <w:szCs w:val="24"/>
        </w:rPr>
        <w:t>ostponement of surrender</w:t>
      </w:r>
      <w:r w:rsidR="00695F2F">
        <w:rPr>
          <w:rFonts w:ascii="Times New Roman" w:eastAsia="Times New Roman" w:hAnsi="Times New Roman" w:cs="Times New Roman"/>
          <w:sz w:val="24"/>
          <w:szCs w:val="24"/>
        </w:rPr>
        <w:t xml:space="preserve"> gives the executing authority a chance to seek further clarification </w:t>
      </w:r>
      <w:r w:rsidR="00120BDE">
        <w:rPr>
          <w:rFonts w:ascii="Times New Roman" w:eastAsia="Times New Roman" w:hAnsi="Times New Roman" w:cs="Times New Roman"/>
          <w:sz w:val="24"/>
          <w:szCs w:val="24"/>
        </w:rPr>
        <w:t xml:space="preserve">from the requesting court, and, for the latter, one more opportunity to </w:t>
      </w:r>
      <w:r w:rsidR="00D303BE">
        <w:rPr>
          <w:rFonts w:ascii="Times New Roman" w:eastAsia="Times New Roman" w:hAnsi="Times New Roman" w:cs="Times New Roman"/>
          <w:sz w:val="24"/>
          <w:szCs w:val="24"/>
        </w:rPr>
        <w:t>discount the doubts as to existence of risk</w:t>
      </w:r>
      <w:r w:rsidR="003C33E9">
        <w:rPr>
          <w:rFonts w:ascii="Times New Roman" w:eastAsia="Times New Roman" w:hAnsi="Times New Roman" w:cs="Times New Roman"/>
          <w:sz w:val="24"/>
          <w:szCs w:val="24"/>
        </w:rPr>
        <w:t xml:space="preserve"> of inhumane or degrading treatment of the person subject to the European Arrest Warrant. On the other hand, </w:t>
      </w:r>
      <w:r w:rsidR="00107A0F">
        <w:rPr>
          <w:rFonts w:ascii="Times New Roman" w:eastAsia="Times New Roman" w:hAnsi="Times New Roman" w:cs="Times New Roman"/>
          <w:sz w:val="24"/>
          <w:szCs w:val="24"/>
        </w:rPr>
        <w:t xml:space="preserve">the solution preferred by the Court of Justice </w:t>
      </w:r>
      <w:r w:rsidR="002F4068">
        <w:rPr>
          <w:rFonts w:ascii="Times New Roman" w:eastAsia="Times New Roman" w:hAnsi="Times New Roman" w:cs="Times New Roman"/>
          <w:sz w:val="24"/>
          <w:szCs w:val="24"/>
        </w:rPr>
        <w:t xml:space="preserve">triggers numerous challenges for the national courts related to, for instance, </w:t>
      </w:r>
      <w:r w:rsidR="00194CCC">
        <w:rPr>
          <w:rFonts w:ascii="Times New Roman" w:eastAsia="Times New Roman" w:hAnsi="Times New Roman" w:cs="Times New Roman"/>
          <w:sz w:val="24"/>
          <w:szCs w:val="24"/>
        </w:rPr>
        <w:t xml:space="preserve">detention of the person concerned during the period of suspension. Furthermore, </w:t>
      </w:r>
      <w:r w:rsidR="00A8104D">
        <w:rPr>
          <w:rFonts w:ascii="Times New Roman" w:eastAsia="Times New Roman" w:hAnsi="Times New Roman" w:cs="Times New Roman"/>
          <w:sz w:val="24"/>
          <w:szCs w:val="24"/>
        </w:rPr>
        <w:t>it is entirely unclear how long such a suspension should last. The Court of Justice</w:t>
      </w:r>
      <w:r w:rsidR="001519F4">
        <w:rPr>
          <w:rFonts w:ascii="Times New Roman" w:eastAsia="Times New Roman" w:hAnsi="Times New Roman" w:cs="Times New Roman"/>
          <w:sz w:val="24"/>
          <w:szCs w:val="24"/>
        </w:rPr>
        <w:t xml:space="preserve"> has only provided an indication that the time period should be “reasonable”.</w:t>
      </w:r>
      <w:r w:rsidR="001519F4">
        <w:rPr>
          <w:rStyle w:val="FootnoteReference"/>
          <w:rFonts w:ascii="Times New Roman" w:eastAsia="Times New Roman" w:hAnsi="Times New Roman" w:cs="Times New Roman"/>
          <w:sz w:val="24"/>
          <w:szCs w:val="24"/>
        </w:rPr>
        <w:footnoteReference w:id="53"/>
      </w:r>
      <w:r w:rsidR="00695F2F">
        <w:rPr>
          <w:rFonts w:ascii="Times New Roman" w:eastAsia="Times New Roman" w:hAnsi="Times New Roman" w:cs="Times New Roman"/>
          <w:sz w:val="24"/>
          <w:szCs w:val="24"/>
        </w:rPr>
        <w:t xml:space="preserve"> </w:t>
      </w:r>
      <w:r w:rsidR="00206288">
        <w:rPr>
          <w:rFonts w:ascii="Times New Roman" w:eastAsia="Times New Roman" w:hAnsi="Times New Roman" w:cs="Times New Roman"/>
          <w:sz w:val="24"/>
          <w:szCs w:val="24"/>
        </w:rPr>
        <w:t xml:space="preserve">This is a blessing and a curse. On the one hand, it </w:t>
      </w:r>
      <w:r w:rsidR="00D12337">
        <w:rPr>
          <w:rFonts w:ascii="Times New Roman" w:eastAsia="Times New Roman" w:hAnsi="Times New Roman" w:cs="Times New Roman"/>
          <w:sz w:val="24"/>
          <w:szCs w:val="24"/>
        </w:rPr>
        <w:t>gives the national judges</w:t>
      </w:r>
      <w:r w:rsidR="008B3CA4">
        <w:rPr>
          <w:rFonts w:ascii="Times New Roman" w:eastAsia="Times New Roman" w:hAnsi="Times New Roman" w:cs="Times New Roman"/>
          <w:sz w:val="24"/>
          <w:szCs w:val="24"/>
        </w:rPr>
        <w:t>’</w:t>
      </w:r>
      <w:r w:rsidR="00D12337">
        <w:rPr>
          <w:rFonts w:ascii="Times New Roman" w:eastAsia="Times New Roman" w:hAnsi="Times New Roman" w:cs="Times New Roman"/>
          <w:sz w:val="24"/>
          <w:szCs w:val="24"/>
        </w:rPr>
        <w:t xml:space="preserve"> discretion but, on the other hand, it painfully lacks detail and offers limited guidance, especially that </w:t>
      </w:r>
      <w:r w:rsidR="004430F6">
        <w:rPr>
          <w:rFonts w:ascii="Times New Roman" w:eastAsia="Times New Roman" w:hAnsi="Times New Roman" w:cs="Times New Roman"/>
          <w:sz w:val="24"/>
          <w:szCs w:val="24"/>
        </w:rPr>
        <w:t xml:space="preserve">in the next step a national court may take its final decision to refuse to surrender. </w:t>
      </w:r>
    </w:p>
    <w:p w14:paraId="3762C65E" w14:textId="6360CD20" w:rsidR="004430F6" w:rsidRDefault="004430F6" w:rsidP="000D77B8">
      <w:pPr>
        <w:pStyle w:val="Default"/>
        <w:jc w:val="both"/>
        <w:rPr>
          <w:rFonts w:ascii="Times New Roman" w:eastAsia="Times New Roman" w:hAnsi="Times New Roman" w:cs="Times New Roman"/>
          <w:sz w:val="24"/>
          <w:szCs w:val="24"/>
        </w:rPr>
      </w:pPr>
    </w:p>
    <w:p w14:paraId="13AA41AF" w14:textId="7CABD9EE" w:rsidR="004430F6" w:rsidRDefault="00C8137F" w:rsidP="000D77B8">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already mentioned, the Court of Justice </w:t>
      </w:r>
      <w:r w:rsidR="009006BD">
        <w:rPr>
          <w:rFonts w:ascii="Times New Roman" w:eastAsia="Times New Roman" w:hAnsi="Times New Roman" w:cs="Times New Roman"/>
          <w:sz w:val="24"/>
          <w:szCs w:val="24"/>
        </w:rPr>
        <w:t xml:space="preserve">has confirmed its earlier jurisprudence in joint cases </w:t>
      </w:r>
      <w:proofErr w:type="spellStart"/>
      <w:r w:rsidR="009006BD" w:rsidRPr="009006BD">
        <w:rPr>
          <w:rFonts w:ascii="Times New Roman" w:eastAsia="Times New Roman" w:hAnsi="Times New Roman" w:cs="Times New Roman"/>
          <w:i/>
          <w:sz w:val="24"/>
          <w:szCs w:val="24"/>
        </w:rPr>
        <w:t>Aranyosi</w:t>
      </w:r>
      <w:proofErr w:type="spellEnd"/>
      <w:r w:rsidR="009006BD" w:rsidRPr="009006BD">
        <w:rPr>
          <w:rFonts w:ascii="Times New Roman" w:eastAsia="Times New Roman" w:hAnsi="Times New Roman" w:cs="Times New Roman"/>
          <w:i/>
          <w:sz w:val="24"/>
          <w:szCs w:val="24"/>
        </w:rPr>
        <w:t xml:space="preserve"> and </w:t>
      </w:r>
      <w:proofErr w:type="spellStart"/>
      <w:r w:rsidR="009006BD" w:rsidRPr="009006BD">
        <w:rPr>
          <w:rFonts w:ascii="Times New Roman" w:eastAsia="Times New Roman" w:hAnsi="Times New Roman" w:cs="Times New Roman"/>
          <w:i/>
          <w:sz w:val="24"/>
          <w:szCs w:val="24"/>
        </w:rPr>
        <w:t>Căldăraru</w:t>
      </w:r>
      <w:proofErr w:type="spellEnd"/>
      <w:r w:rsidR="009006BD">
        <w:rPr>
          <w:rFonts w:ascii="Times New Roman" w:eastAsia="Times New Roman" w:hAnsi="Times New Roman" w:cs="Times New Roman"/>
          <w:sz w:val="24"/>
          <w:szCs w:val="24"/>
        </w:rPr>
        <w:t xml:space="preserve"> that </w:t>
      </w:r>
      <w:r w:rsidR="00D061CB">
        <w:rPr>
          <w:rFonts w:ascii="Times New Roman" w:eastAsia="Times New Roman" w:hAnsi="Times New Roman" w:cs="Times New Roman"/>
          <w:sz w:val="24"/>
          <w:szCs w:val="24"/>
        </w:rPr>
        <w:t xml:space="preserve">limitations of the principles of mutual recognition and mutual trust are on the menu, however only in exceptional circumstances. </w:t>
      </w:r>
      <w:r w:rsidR="00693B2D">
        <w:rPr>
          <w:rFonts w:ascii="Times New Roman" w:eastAsia="Times New Roman" w:hAnsi="Times New Roman" w:cs="Times New Roman"/>
          <w:sz w:val="24"/>
          <w:szCs w:val="24"/>
        </w:rPr>
        <w:t xml:space="preserve">As the commented judgment clarifies, such exceptional circumstances may occur when </w:t>
      </w:r>
      <w:r w:rsidR="00474B45">
        <w:rPr>
          <w:rFonts w:ascii="Times New Roman" w:eastAsia="Times New Roman" w:hAnsi="Times New Roman" w:cs="Times New Roman"/>
          <w:sz w:val="24"/>
          <w:szCs w:val="24"/>
        </w:rPr>
        <w:t xml:space="preserve">the national court in charge of execution </w:t>
      </w:r>
      <w:r w:rsidR="00D27A84">
        <w:rPr>
          <w:rFonts w:ascii="Times New Roman" w:eastAsia="Times New Roman" w:hAnsi="Times New Roman" w:cs="Times New Roman"/>
          <w:sz w:val="24"/>
          <w:szCs w:val="24"/>
        </w:rPr>
        <w:t xml:space="preserve">of a European Arrest Warrant cannot discount doubts as to the risk of inhuman or degrading treatment that a person subject to EAW may face. </w:t>
      </w:r>
      <w:r w:rsidR="00D17145">
        <w:rPr>
          <w:rFonts w:ascii="Times New Roman" w:eastAsia="Times New Roman" w:hAnsi="Times New Roman" w:cs="Times New Roman"/>
          <w:sz w:val="24"/>
          <w:szCs w:val="24"/>
        </w:rPr>
        <w:t xml:space="preserve">Should that be the case the domestic judges may bring the procedure to an end. The already mentioned euphemistic </w:t>
      </w:r>
      <w:r w:rsidR="005315E6">
        <w:rPr>
          <w:rFonts w:ascii="Times New Roman" w:eastAsia="Times New Roman" w:hAnsi="Times New Roman" w:cs="Times New Roman"/>
          <w:sz w:val="24"/>
          <w:szCs w:val="24"/>
        </w:rPr>
        <w:t xml:space="preserve">language employed by the Court is a departure from the statutory vocabulary used by the EU legislator </w:t>
      </w:r>
      <w:r w:rsidR="0025230A">
        <w:rPr>
          <w:rFonts w:ascii="Times New Roman" w:eastAsia="Times New Roman" w:hAnsi="Times New Roman" w:cs="Times New Roman"/>
          <w:sz w:val="24"/>
          <w:szCs w:val="24"/>
        </w:rPr>
        <w:t xml:space="preserve">in the EAW Framework Decision. </w:t>
      </w:r>
      <w:r w:rsidR="0025230A" w:rsidRPr="00747D73">
        <w:rPr>
          <w:rFonts w:ascii="Times New Roman" w:eastAsia="Times New Roman" w:hAnsi="Times New Roman" w:cs="Times New Roman"/>
          <w:i/>
          <w:sz w:val="24"/>
          <w:szCs w:val="24"/>
        </w:rPr>
        <w:t>R</w:t>
      </w:r>
      <w:r w:rsidR="00C82821" w:rsidRPr="00747D73">
        <w:rPr>
          <w:rFonts w:ascii="Times New Roman" w:eastAsia="Times New Roman" w:hAnsi="Times New Roman" w:cs="Times New Roman"/>
          <w:i/>
          <w:sz w:val="24"/>
          <w:szCs w:val="24"/>
        </w:rPr>
        <w:t>aison d'être</w:t>
      </w:r>
      <w:r w:rsidR="00C82821" w:rsidRPr="00C82821">
        <w:rPr>
          <w:rFonts w:ascii="Times New Roman" w:eastAsia="Times New Roman" w:hAnsi="Times New Roman" w:cs="Times New Roman"/>
          <w:sz w:val="24"/>
          <w:szCs w:val="24"/>
        </w:rPr>
        <w:t xml:space="preserve"> </w:t>
      </w:r>
      <w:r w:rsidR="0025230A">
        <w:rPr>
          <w:rFonts w:ascii="Times New Roman" w:eastAsia="Times New Roman" w:hAnsi="Times New Roman" w:cs="Times New Roman"/>
          <w:sz w:val="24"/>
          <w:szCs w:val="24"/>
        </w:rPr>
        <w:t xml:space="preserve">behind the decision not to call a spade a spade will remain </w:t>
      </w:r>
      <w:r w:rsidR="00C82821">
        <w:rPr>
          <w:rFonts w:ascii="Times New Roman" w:eastAsia="Times New Roman" w:hAnsi="Times New Roman" w:cs="Times New Roman"/>
          <w:sz w:val="24"/>
          <w:szCs w:val="24"/>
        </w:rPr>
        <w:t xml:space="preserve">locked behind the doors of the deliberation room at </w:t>
      </w:r>
      <w:proofErr w:type="spellStart"/>
      <w:r w:rsidR="00C82821">
        <w:rPr>
          <w:rFonts w:ascii="Times New Roman" w:eastAsia="Times New Roman" w:hAnsi="Times New Roman" w:cs="Times New Roman"/>
          <w:sz w:val="24"/>
          <w:szCs w:val="24"/>
        </w:rPr>
        <w:t>Kirchberg</w:t>
      </w:r>
      <w:proofErr w:type="spellEnd"/>
      <w:r w:rsidR="00C82821">
        <w:rPr>
          <w:rFonts w:ascii="Times New Roman" w:eastAsia="Times New Roman" w:hAnsi="Times New Roman" w:cs="Times New Roman"/>
          <w:sz w:val="24"/>
          <w:szCs w:val="24"/>
        </w:rPr>
        <w:t xml:space="preserve">. It is, however, worth emphasising that the Court </w:t>
      </w:r>
      <w:r w:rsidR="00F04CBA">
        <w:rPr>
          <w:rFonts w:ascii="Times New Roman" w:eastAsia="Times New Roman" w:hAnsi="Times New Roman" w:cs="Times New Roman"/>
          <w:sz w:val="24"/>
          <w:szCs w:val="24"/>
        </w:rPr>
        <w:t>of Justice deliberately tal</w:t>
      </w:r>
      <w:r w:rsidR="0010156B">
        <w:rPr>
          <w:rFonts w:ascii="Times New Roman" w:eastAsia="Times New Roman" w:hAnsi="Times New Roman" w:cs="Times New Roman"/>
          <w:sz w:val="24"/>
          <w:szCs w:val="24"/>
        </w:rPr>
        <w:t xml:space="preserve">ks about bringing procedure to an end, instead of refusal to surrender. </w:t>
      </w:r>
      <w:r w:rsidR="00B0131C">
        <w:rPr>
          <w:rFonts w:ascii="Times New Roman" w:eastAsia="Times New Roman" w:hAnsi="Times New Roman" w:cs="Times New Roman"/>
          <w:sz w:val="24"/>
          <w:szCs w:val="24"/>
        </w:rPr>
        <w:t xml:space="preserve">Perhaps this is related to the fact that neither Article 3, nor Articles 4-4a of the EAW Framework Decision (which deal with grounds for non-execution of the surrender requests) are mentioned in the final conclusions of the Court. </w:t>
      </w:r>
      <w:r w:rsidR="00592262">
        <w:rPr>
          <w:rFonts w:ascii="Times New Roman" w:eastAsia="Times New Roman" w:hAnsi="Times New Roman" w:cs="Times New Roman"/>
          <w:sz w:val="24"/>
          <w:szCs w:val="24"/>
        </w:rPr>
        <w:t xml:space="preserve">Does this mean that the Court has developed a parallel </w:t>
      </w:r>
      <w:r w:rsidR="00592262" w:rsidRPr="00E53951">
        <w:rPr>
          <w:rFonts w:ascii="Times New Roman" w:eastAsia="Times New Roman" w:hAnsi="Times New Roman" w:cs="Times New Roman"/>
          <w:i/>
          <w:sz w:val="24"/>
          <w:szCs w:val="24"/>
        </w:rPr>
        <w:t>modus operandi</w:t>
      </w:r>
      <w:r w:rsidR="007D1199">
        <w:rPr>
          <w:rFonts w:ascii="Times New Roman" w:eastAsia="Times New Roman" w:hAnsi="Times New Roman" w:cs="Times New Roman"/>
          <w:sz w:val="24"/>
          <w:szCs w:val="24"/>
        </w:rPr>
        <w:t xml:space="preserve"> </w:t>
      </w:r>
      <w:r w:rsidR="00E53951">
        <w:rPr>
          <w:rFonts w:ascii="Times New Roman" w:eastAsia="Times New Roman" w:hAnsi="Times New Roman" w:cs="Times New Roman"/>
          <w:sz w:val="24"/>
          <w:szCs w:val="24"/>
        </w:rPr>
        <w:t>on the top of the existing grounds for non-execution?</w:t>
      </w:r>
      <w:r w:rsidR="00A53860">
        <w:rPr>
          <w:rFonts w:ascii="Times New Roman" w:eastAsia="Times New Roman" w:hAnsi="Times New Roman" w:cs="Times New Roman"/>
          <w:sz w:val="24"/>
          <w:szCs w:val="24"/>
        </w:rPr>
        <w:t xml:space="preserve"> </w:t>
      </w:r>
      <w:r w:rsidR="00CC4293">
        <w:rPr>
          <w:rFonts w:ascii="Times New Roman" w:eastAsia="Times New Roman" w:hAnsi="Times New Roman" w:cs="Times New Roman"/>
          <w:sz w:val="24"/>
          <w:szCs w:val="24"/>
        </w:rPr>
        <w:t>Alas, this is not clear from the judgment at hand.</w:t>
      </w:r>
    </w:p>
    <w:p w14:paraId="7044ECA5" w14:textId="015C1F6C" w:rsidR="00394675" w:rsidRDefault="00394675" w:rsidP="000D77B8">
      <w:pPr>
        <w:pStyle w:val="Default"/>
        <w:jc w:val="both"/>
        <w:rPr>
          <w:rFonts w:ascii="Times New Roman" w:eastAsia="Times New Roman" w:hAnsi="Times New Roman" w:cs="Times New Roman"/>
          <w:sz w:val="24"/>
          <w:szCs w:val="24"/>
        </w:rPr>
      </w:pPr>
    </w:p>
    <w:p w14:paraId="462E1A9F" w14:textId="162754E3" w:rsidR="00747D73" w:rsidRPr="00747D73" w:rsidRDefault="00747D73" w:rsidP="000D77B8">
      <w:pPr>
        <w:pStyle w:val="Default"/>
        <w:jc w:val="both"/>
        <w:rPr>
          <w:rFonts w:ascii="Times New Roman" w:eastAsia="Times New Roman" w:hAnsi="Times New Roman" w:cs="Times New Roman"/>
          <w:i/>
          <w:sz w:val="24"/>
          <w:szCs w:val="24"/>
        </w:rPr>
      </w:pPr>
      <w:r w:rsidRPr="00747D73">
        <w:rPr>
          <w:rFonts w:ascii="Times New Roman" w:eastAsia="Times New Roman" w:hAnsi="Times New Roman" w:cs="Times New Roman"/>
          <w:i/>
          <w:sz w:val="24"/>
          <w:szCs w:val="24"/>
        </w:rPr>
        <w:t>3.2.4. Conclusions</w:t>
      </w:r>
    </w:p>
    <w:p w14:paraId="71FC5A6A" w14:textId="77777777" w:rsidR="00747D73" w:rsidRDefault="00747D73" w:rsidP="000D77B8">
      <w:pPr>
        <w:pStyle w:val="Default"/>
        <w:jc w:val="both"/>
        <w:rPr>
          <w:rFonts w:ascii="Times New Roman" w:eastAsia="Times New Roman" w:hAnsi="Times New Roman" w:cs="Times New Roman"/>
          <w:sz w:val="24"/>
          <w:szCs w:val="24"/>
        </w:rPr>
      </w:pPr>
    </w:p>
    <w:p w14:paraId="2A3B638A" w14:textId="06A54753" w:rsidR="00394675" w:rsidRDefault="00FE1F21" w:rsidP="000D77B8">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judgment in j</w:t>
      </w:r>
      <w:r w:rsidRPr="00FE1F21">
        <w:rPr>
          <w:rFonts w:ascii="Times New Roman" w:eastAsia="Times New Roman" w:hAnsi="Times New Roman" w:cs="Times New Roman"/>
          <w:sz w:val="24"/>
          <w:szCs w:val="24"/>
        </w:rPr>
        <w:t xml:space="preserve">oint cases </w:t>
      </w:r>
      <w:proofErr w:type="spellStart"/>
      <w:r w:rsidRPr="00FE1F21">
        <w:rPr>
          <w:rFonts w:ascii="Times New Roman" w:eastAsia="Times New Roman" w:hAnsi="Times New Roman" w:cs="Times New Roman"/>
          <w:i/>
          <w:sz w:val="24"/>
          <w:szCs w:val="24"/>
        </w:rPr>
        <w:t>Aranyosi</w:t>
      </w:r>
      <w:proofErr w:type="spellEnd"/>
      <w:r w:rsidRPr="00FE1F21">
        <w:rPr>
          <w:rFonts w:ascii="Times New Roman" w:eastAsia="Times New Roman" w:hAnsi="Times New Roman" w:cs="Times New Roman"/>
          <w:i/>
          <w:sz w:val="24"/>
          <w:szCs w:val="24"/>
        </w:rPr>
        <w:t xml:space="preserve"> and </w:t>
      </w:r>
      <w:proofErr w:type="spellStart"/>
      <w:r w:rsidRPr="00FE1F21">
        <w:rPr>
          <w:rFonts w:ascii="Times New Roman" w:eastAsia="Times New Roman" w:hAnsi="Times New Roman" w:cs="Times New Roman"/>
          <w:i/>
          <w:sz w:val="24"/>
          <w:szCs w:val="24"/>
        </w:rPr>
        <w:t>Căldăraru</w:t>
      </w:r>
      <w:proofErr w:type="spellEnd"/>
      <w:r>
        <w:rPr>
          <w:rFonts w:ascii="Times New Roman" w:eastAsia="Times New Roman" w:hAnsi="Times New Roman" w:cs="Times New Roman"/>
          <w:sz w:val="24"/>
          <w:szCs w:val="24"/>
        </w:rPr>
        <w:t xml:space="preserve"> </w:t>
      </w:r>
      <w:r w:rsidR="00FE5D25">
        <w:rPr>
          <w:rFonts w:ascii="Times New Roman" w:eastAsia="Times New Roman" w:hAnsi="Times New Roman" w:cs="Times New Roman"/>
          <w:sz w:val="24"/>
          <w:szCs w:val="24"/>
        </w:rPr>
        <w:t>triggers – not surprisingly -</w:t>
      </w:r>
      <w:r>
        <w:rPr>
          <w:rFonts w:ascii="Times New Roman" w:eastAsia="Times New Roman" w:hAnsi="Times New Roman" w:cs="Times New Roman"/>
          <w:sz w:val="24"/>
          <w:szCs w:val="24"/>
        </w:rPr>
        <w:t xml:space="preserve"> mixed emotions. </w:t>
      </w:r>
      <w:r w:rsidR="00B83015">
        <w:rPr>
          <w:rFonts w:ascii="Times New Roman" w:eastAsia="Times New Roman" w:hAnsi="Times New Roman" w:cs="Times New Roman"/>
          <w:sz w:val="24"/>
          <w:szCs w:val="24"/>
        </w:rPr>
        <w:t xml:space="preserve">On the one hand, it offers a long overdue </w:t>
      </w:r>
      <w:r w:rsidR="00AC47D7">
        <w:rPr>
          <w:rFonts w:ascii="Times New Roman" w:eastAsia="Times New Roman" w:hAnsi="Times New Roman" w:cs="Times New Roman"/>
          <w:sz w:val="24"/>
          <w:szCs w:val="24"/>
        </w:rPr>
        <w:t>clarification,</w:t>
      </w:r>
      <w:r w:rsidR="00B83015">
        <w:rPr>
          <w:rFonts w:ascii="Times New Roman" w:eastAsia="Times New Roman" w:hAnsi="Times New Roman" w:cs="Times New Roman"/>
          <w:sz w:val="24"/>
          <w:szCs w:val="24"/>
        </w:rPr>
        <w:t xml:space="preserve"> and</w:t>
      </w:r>
      <w:r w:rsidR="00DB11ED">
        <w:rPr>
          <w:rFonts w:ascii="Times New Roman" w:eastAsia="Times New Roman" w:hAnsi="Times New Roman" w:cs="Times New Roman"/>
          <w:sz w:val="24"/>
          <w:szCs w:val="24"/>
        </w:rPr>
        <w:t>,</w:t>
      </w:r>
      <w:r w:rsidR="00B83015">
        <w:rPr>
          <w:rFonts w:ascii="Times New Roman" w:eastAsia="Times New Roman" w:hAnsi="Times New Roman" w:cs="Times New Roman"/>
          <w:sz w:val="24"/>
          <w:szCs w:val="24"/>
        </w:rPr>
        <w:t xml:space="preserve"> in a way</w:t>
      </w:r>
      <w:r w:rsidR="00DB11ED">
        <w:rPr>
          <w:rFonts w:ascii="Times New Roman" w:eastAsia="Times New Roman" w:hAnsi="Times New Roman" w:cs="Times New Roman"/>
          <w:sz w:val="24"/>
          <w:szCs w:val="24"/>
        </w:rPr>
        <w:t>,</w:t>
      </w:r>
      <w:r w:rsidR="00B83015">
        <w:rPr>
          <w:rFonts w:ascii="Times New Roman" w:eastAsia="Times New Roman" w:hAnsi="Times New Roman" w:cs="Times New Roman"/>
          <w:sz w:val="24"/>
          <w:szCs w:val="24"/>
        </w:rPr>
        <w:t xml:space="preserve"> </w:t>
      </w:r>
      <w:r w:rsidR="00DB11ED">
        <w:rPr>
          <w:rFonts w:ascii="Times New Roman" w:eastAsia="Times New Roman" w:hAnsi="Times New Roman" w:cs="Times New Roman"/>
          <w:sz w:val="24"/>
          <w:szCs w:val="24"/>
        </w:rPr>
        <w:t xml:space="preserve">it </w:t>
      </w:r>
      <w:r w:rsidR="00B83015">
        <w:rPr>
          <w:rFonts w:ascii="Times New Roman" w:eastAsia="Times New Roman" w:hAnsi="Times New Roman" w:cs="Times New Roman"/>
          <w:sz w:val="24"/>
          <w:szCs w:val="24"/>
        </w:rPr>
        <w:t xml:space="preserve">brings </w:t>
      </w:r>
      <w:r w:rsidR="00DB11ED">
        <w:rPr>
          <w:rFonts w:ascii="Times New Roman" w:eastAsia="Times New Roman" w:hAnsi="Times New Roman" w:cs="Times New Roman"/>
          <w:sz w:val="24"/>
          <w:szCs w:val="24"/>
        </w:rPr>
        <w:t xml:space="preserve">EU </w:t>
      </w:r>
      <w:r w:rsidR="00DB11ED" w:rsidRPr="00DB11ED">
        <w:rPr>
          <w:rFonts w:ascii="Times New Roman" w:eastAsia="Times New Roman" w:hAnsi="Times New Roman" w:cs="Times New Roman"/>
          <w:i/>
          <w:sz w:val="24"/>
          <w:szCs w:val="24"/>
        </w:rPr>
        <w:t>acquis</w:t>
      </w:r>
      <w:r w:rsidR="00DB11ED">
        <w:rPr>
          <w:rFonts w:ascii="Times New Roman" w:eastAsia="Times New Roman" w:hAnsi="Times New Roman" w:cs="Times New Roman"/>
          <w:sz w:val="24"/>
          <w:szCs w:val="24"/>
        </w:rPr>
        <w:t xml:space="preserve"> in sync with domestic practice in some of the Member States. </w:t>
      </w:r>
      <w:r w:rsidR="00C60E5D">
        <w:rPr>
          <w:rFonts w:ascii="Times New Roman" w:eastAsia="Times New Roman" w:hAnsi="Times New Roman" w:cs="Times New Roman"/>
          <w:sz w:val="24"/>
          <w:szCs w:val="24"/>
        </w:rPr>
        <w:t xml:space="preserve">Furthermore, it eases the loyalty conflicts discussed above, which face the national judges in such cases. </w:t>
      </w:r>
      <w:r w:rsidR="00782042">
        <w:rPr>
          <w:rFonts w:ascii="Times New Roman" w:eastAsia="Times New Roman" w:hAnsi="Times New Roman" w:cs="Times New Roman"/>
          <w:sz w:val="24"/>
          <w:szCs w:val="24"/>
        </w:rPr>
        <w:t xml:space="preserve">As </w:t>
      </w:r>
      <w:r w:rsidR="00677682">
        <w:rPr>
          <w:rFonts w:ascii="Times New Roman" w:eastAsia="Times New Roman" w:hAnsi="Times New Roman" w:cs="Times New Roman"/>
          <w:sz w:val="24"/>
          <w:szCs w:val="24"/>
        </w:rPr>
        <w:t>argued earlier</w:t>
      </w:r>
      <w:r w:rsidR="00782042">
        <w:rPr>
          <w:rFonts w:ascii="Times New Roman" w:eastAsia="Times New Roman" w:hAnsi="Times New Roman" w:cs="Times New Roman"/>
          <w:sz w:val="24"/>
          <w:szCs w:val="24"/>
        </w:rPr>
        <w:t xml:space="preserve">, while providing a clarification </w:t>
      </w:r>
      <w:r w:rsidR="00677682">
        <w:rPr>
          <w:rFonts w:ascii="Times New Roman" w:eastAsia="Times New Roman" w:hAnsi="Times New Roman" w:cs="Times New Roman"/>
          <w:sz w:val="24"/>
          <w:szCs w:val="24"/>
        </w:rPr>
        <w:t>this judgment</w:t>
      </w:r>
      <w:r w:rsidR="00782042">
        <w:rPr>
          <w:rFonts w:ascii="Times New Roman" w:eastAsia="Times New Roman" w:hAnsi="Times New Roman" w:cs="Times New Roman"/>
          <w:sz w:val="24"/>
          <w:szCs w:val="24"/>
        </w:rPr>
        <w:t xml:space="preserve"> also triggers a host of new challenges and questions for national judges. Not surprisingly some of them have </w:t>
      </w:r>
      <w:r w:rsidR="009614EC">
        <w:rPr>
          <w:rFonts w:ascii="Times New Roman" w:eastAsia="Times New Roman" w:hAnsi="Times New Roman" w:cs="Times New Roman"/>
          <w:sz w:val="24"/>
          <w:szCs w:val="24"/>
        </w:rPr>
        <w:t xml:space="preserve">found their way to the Court of Justice </w:t>
      </w:r>
      <w:r w:rsidR="009614EC" w:rsidRPr="009614EC">
        <w:rPr>
          <w:rFonts w:ascii="Times New Roman" w:eastAsia="Times New Roman" w:hAnsi="Times New Roman" w:cs="Times New Roman"/>
          <w:i/>
          <w:sz w:val="24"/>
          <w:szCs w:val="24"/>
        </w:rPr>
        <w:t>qua</w:t>
      </w:r>
      <w:r w:rsidR="009614EC">
        <w:rPr>
          <w:rFonts w:ascii="Times New Roman" w:eastAsia="Times New Roman" w:hAnsi="Times New Roman" w:cs="Times New Roman"/>
          <w:sz w:val="24"/>
          <w:szCs w:val="24"/>
        </w:rPr>
        <w:t xml:space="preserve"> subsequent references for preliminary ruling, which are analysed in turn.</w:t>
      </w:r>
      <w:r w:rsidR="000E15E1">
        <w:rPr>
          <w:rFonts w:ascii="Times New Roman" w:eastAsia="Times New Roman" w:hAnsi="Times New Roman" w:cs="Times New Roman"/>
          <w:sz w:val="24"/>
          <w:szCs w:val="24"/>
        </w:rPr>
        <w:t xml:space="preserve"> </w:t>
      </w:r>
    </w:p>
    <w:p w14:paraId="50CF9C72" w14:textId="77777777" w:rsidR="00E8723D" w:rsidRDefault="00E8723D">
      <w:pPr>
        <w:pStyle w:val="Default"/>
        <w:rPr>
          <w:rFonts w:ascii="Times New Roman" w:eastAsia="Times New Roman" w:hAnsi="Times New Roman" w:cs="Times New Roman"/>
          <w:sz w:val="24"/>
          <w:szCs w:val="24"/>
        </w:rPr>
      </w:pPr>
    </w:p>
    <w:p w14:paraId="47B1A49E" w14:textId="18F45A0B" w:rsidR="004E2F3A" w:rsidRDefault="00810306">
      <w:pPr>
        <w:pStyle w:val="Default"/>
        <w:rPr>
          <w:rFonts w:ascii="Times New Roman" w:eastAsia="Times New Roman" w:hAnsi="Times New Roman" w:cs="Times New Roman"/>
          <w:b/>
          <w:bCs/>
          <w:sz w:val="24"/>
          <w:szCs w:val="24"/>
        </w:rPr>
      </w:pPr>
      <w:r>
        <w:rPr>
          <w:rFonts w:ascii="Times New Roman" w:hAnsi="Times New Roman"/>
          <w:b/>
          <w:bCs/>
          <w:sz w:val="24"/>
          <w:szCs w:val="24"/>
          <w:lang w:val="en-US"/>
        </w:rPr>
        <w:t xml:space="preserve">3.3. </w:t>
      </w:r>
      <w:r w:rsidR="00C054D3" w:rsidRPr="00C054D3">
        <w:rPr>
          <w:rFonts w:ascii="Times New Roman" w:hAnsi="Times New Roman"/>
          <w:b/>
          <w:bCs/>
          <w:sz w:val="24"/>
          <w:szCs w:val="24"/>
          <w:lang w:val="en-US"/>
        </w:rPr>
        <w:t xml:space="preserve">Case C-220/18PPU </w:t>
      </w:r>
      <w:r>
        <w:rPr>
          <w:rFonts w:ascii="Times New Roman" w:hAnsi="Times New Roman"/>
          <w:b/>
          <w:bCs/>
          <w:sz w:val="24"/>
          <w:szCs w:val="24"/>
          <w:lang w:val="en-US"/>
        </w:rPr>
        <w:t>ML: can we really trust your detention conditions?</w:t>
      </w:r>
    </w:p>
    <w:p w14:paraId="05052E20" w14:textId="77777777" w:rsidR="004E2F3A" w:rsidRPr="00997556" w:rsidRDefault="00997556">
      <w:pPr>
        <w:pStyle w:val="Default"/>
        <w:rPr>
          <w:rFonts w:ascii="Times New Roman" w:eastAsia="Times New Roman" w:hAnsi="Times New Roman" w:cs="Times New Roman"/>
          <w:i/>
          <w:sz w:val="24"/>
          <w:szCs w:val="24"/>
        </w:rPr>
      </w:pPr>
      <w:r w:rsidRPr="00997556">
        <w:rPr>
          <w:rFonts w:ascii="Times New Roman" w:eastAsia="Times New Roman" w:hAnsi="Times New Roman" w:cs="Times New Roman"/>
          <w:i/>
          <w:sz w:val="24"/>
          <w:szCs w:val="24"/>
        </w:rPr>
        <w:t>3.3.1.</w:t>
      </w:r>
      <w:r w:rsidR="004174D4">
        <w:rPr>
          <w:rFonts w:ascii="Times New Roman" w:eastAsia="Times New Roman" w:hAnsi="Times New Roman" w:cs="Times New Roman"/>
          <w:i/>
          <w:sz w:val="24"/>
          <w:szCs w:val="24"/>
        </w:rPr>
        <w:t xml:space="preserve"> Introduction</w:t>
      </w:r>
    </w:p>
    <w:p w14:paraId="32C7243E" w14:textId="77777777" w:rsidR="00997556" w:rsidRDefault="00997556">
      <w:pPr>
        <w:pStyle w:val="Default"/>
        <w:rPr>
          <w:rFonts w:ascii="Times New Roman" w:eastAsia="Times New Roman" w:hAnsi="Times New Roman" w:cs="Times New Roman"/>
          <w:sz w:val="24"/>
          <w:szCs w:val="24"/>
        </w:rPr>
      </w:pPr>
    </w:p>
    <w:p w14:paraId="1CC63538" w14:textId="13C31707" w:rsidR="00A53E9B" w:rsidRPr="00A026F2" w:rsidRDefault="00143202" w:rsidP="00523830">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523830">
        <w:rPr>
          <w:rFonts w:ascii="Times New Roman" w:eastAsia="Times New Roman" w:hAnsi="Times New Roman" w:cs="Times New Roman"/>
          <w:sz w:val="24"/>
          <w:szCs w:val="24"/>
        </w:rPr>
        <w:t xml:space="preserve">ase </w:t>
      </w:r>
      <w:r w:rsidR="00523830" w:rsidRPr="00523830">
        <w:rPr>
          <w:rFonts w:ascii="Times New Roman" w:eastAsia="Times New Roman" w:hAnsi="Times New Roman" w:cs="Times New Roman"/>
          <w:sz w:val="24"/>
          <w:szCs w:val="24"/>
        </w:rPr>
        <w:t>C-2</w:t>
      </w:r>
      <w:r w:rsidR="00CC0CF1">
        <w:rPr>
          <w:rFonts w:ascii="Times New Roman" w:eastAsia="Times New Roman" w:hAnsi="Times New Roman" w:cs="Times New Roman"/>
          <w:sz w:val="24"/>
          <w:szCs w:val="24"/>
        </w:rPr>
        <w:t>20</w:t>
      </w:r>
      <w:r w:rsidR="00523830" w:rsidRPr="00523830">
        <w:rPr>
          <w:rFonts w:ascii="Times New Roman" w:eastAsia="Times New Roman" w:hAnsi="Times New Roman" w:cs="Times New Roman"/>
          <w:sz w:val="24"/>
          <w:szCs w:val="24"/>
        </w:rPr>
        <w:t>/18PPU</w:t>
      </w:r>
      <w:r w:rsidR="009827B9">
        <w:rPr>
          <w:rFonts w:ascii="Times New Roman" w:eastAsia="Times New Roman" w:hAnsi="Times New Roman" w:cs="Times New Roman"/>
          <w:sz w:val="24"/>
          <w:szCs w:val="24"/>
        </w:rPr>
        <w:t xml:space="preserve"> </w:t>
      </w:r>
      <w:r w:rsidR="009827B9" w:rsidRPr="009827B9">
        <w:rPr>
          <w:rFonts w:ascii="Times New Roman" w:eastAsia="Times New Roman" w:hAnsi="Times New Roman" w:cs="Times New Roman"/>
          <w:i/>
          <w:sz w:val="24"/>
          <w:szCs w:val="24"/>
        </w:rPr>
        <w:t>ML</w:t>
      </w:r>
      <w:r w:rsidR="00523830" w:rsidRPr="00523830">
        <w:rPr>
          <w:rFonts w:ascii="Times New Roman" w:eastAsia="Times New Roman" w:hAnsi="Times New Roman" w:cs="Times New Roman"/>
          <w:sz w:val="24"/>
          <w:szCs w:val="24"/>
        </w:rPr>
        <w:t xml:space="preserve"> </w:t>
      </w:r>
      <w:r w:rsidR="00AC47D7">
        <w:rPr>
          <w:rFonts w:ascii="Times New Roman" w:eastAsia="Times New Roman" w:hAnsi="Times New Roman" w:cs="Times New Roman"/>
          <w:sz w:val="24"/>
          <w:szCs w:val="24"/>
        </w:rPr>
        <w:t>is surely a</w:t>
      </w:r>
      <w:r w:rsidR="00523830">
        <w:rPr>
          <w:rFonts w:ascii="Times New Roman" w:eastAsia="Times New Roman" w:hAnsi="Times New Roman" w:cs="Times New Roman"/>
          <w:sz w:val="24"/>
          <w:szCs w:val="24"/>
        </w:rPr>
        <w:t xml:space="preserve"> follow-up to </w:t>
      </w:r>
      <w:r w:rsidR="00CF5A13" w:rsidRPr="00CF5A13">
        <w:rPr>
          <w:rFonts w:ascii="Times New Roman" w:eastAsia="Times New Roman" w:hAnsi="Times New Roman" w:cs="Times New Roman"/>
          <w:sz w:val="24"/>
          <w:szCs w:val="24"/>
        </w:rPr>
        <w:t xml:space="preserve">joined cases C-404/15 and C-659/15 PPU </w:t>
      </w:r>
      <w:proofErr w:type="spellStart"/>
      <w:r w:rsidR="00CF5A13" w:rsidRPr="00CF5A13">
        <w:rPr>
          <w:rFonts w:ascii="Times New Roman" w:eastAsia="Times New Roman" w:hAnsi="Times New Roman" w:cs="Times New Roman"/>
          <w:i/>
          <w:sz w:val="24"/>
          <w:szCs w:val="24"/>
        </w:rPr>
        <w:t>Aranyosi</w:t>
      </w:r>
      <w:proofErr w:type="spellEnd"/>
      <w:r w:rsidR="00CF5A13" w:rsidRPr="00CF5A13">
        <w:rPr>
          <w:rFonts w:ascii="Times New Roman" w:eastAsia="Times New Roman" w:hAnsi="Times New Roman" w:cs="Times New Roman"/>
          <w:i/>
          <w:sz w:val="24"/>
          <w:szCs w:val="24"/>
        </w:rPr>
        <w:t xml:space="preserve"> and </w:t>
      </w:r>
      <w:proofErr w:type="spellStart"/>
      <w:r w:rsidR="00CF5A13" w:rsidRPr="00CF5A13">
        <w:rPr>
          <w:rFonts w:ascii="Times New Roman" w:eastAsia="Times New Roman" w:hAnsi="Times New Roman" w:cs="Times New Roman"/>
          <w:i/>
          <w:sz w:val="24"/>
          <w:szCs w:val="24"/>
        </w:rPr>
        <w:t>Căldăraru</w:t>
      </w:r>
      <w:proofErr w:type="spellEnd"/>
      <w:r w:rsidR="00AC47D7">
        <w:rPr>
          <w:rFonts w:ascii="Times New Roman" w:eastAsia="Times New Roman" w:hAnsi="Times New Roman" w:cs="Times New Roman"/>
          <w:sz w:val="24"/>
          <w:szCs w:val="24"/>
        </w:rPr>
        <w:t xml:space="preserve"> and proves the point made by </w:t>
      </w:r>
      <w:r w:rsidR="00AC47D7" w:rsidRPr="00AC47D7">
        <w:rPr>
          <w:rFonts w:ascii="Times New Roman" w:eastAsia="Times New Roman" w:hAnsi="Times New Roman" w:cs="Times New Roman"/>
          <w:sz w:val="24"/>
          <w:szCs w:val="24"/>
        </w:rPr>
        <w:t xml:space="preserve">W. Van </w:t>
      </w:r>
      <w:proofErr w:type="spellStart"/>
      <w:r w:rsidR="00AC47D7" w:rsidRPr="00AC47D7">
        <w:rPr>
          <w:rFonts w:ascii="Times New Roman" w:eastAsia="Times New Roman" w:hAnsi="Times New Roman" w:cs="Times New Roman"/>
          <w:sz w:val="24"/>
          <w:szCs w:val="24"/>
        </w:rPr>
        <w:t>Ballegooij</w:t>
      </w:r>
      <w:proofErr w:type="spellEnd"/>
      <w:r w:rsidR="00AC47D7" w:rsidRPr="00AC47D7">
        <w:rPr>
          <w:rFonts w:ascii="Times New Roman" w:eastAsia="Times New Roman" w:hAnsi="Times New Roman" w:cs="Times New Roman"/>
          <w:sz w:val="24"/>
          <w:szCs w:val="24"/>
        </w:rPr>
        <w:t xml:space="preserve"> and P. </w:t>
      </w:r>
      <w:proofErr w:type="spellStart"/>
      <w:r w:rsidR="00AC47D7" w:rsidRPr="00AC47D7">
        <w:rPr>
          <w:rFonts w:ascii="Times New Roman" w:eastAsia="Times New Roman" w:hAnsi="Times New Roman" w:cs="Times New Roman"/>
          <w:sz w:val="24"/>
          <w:szCs w:val="24"/>
        </w:rPr>
        <w:t>Bárd</w:t>
      </w:r>
      <w:proofErr w:type="spellEnd"/>
      <w:r w:rsidR="00AC47D7">
        <w:rPr>
          <w:rFonts w:ascii="Times New Roman" w:eastAsia="Times New Roman" w:hAnsi="Times New Roman" w:cs="Times New Roman"/>
          <w:sz w:val="24"/>
          <w:szCs w:val="24"/>
        </w:rPr>
        <w:t xml:space="preserve"> that the latter case was just the beginning of the dialogue between national courts and the Court of Justice.</w:t>
      </w:r>
      <w:r w:rsidR="00231813">
        <w:rPr>
          <w:rStyle w:val="FootnoteReference"/>
          <w:rFonts w:ascii="Times New Roman" w:eastAsia="Times New Roman" w:hAnsi="Times New Roman" w:cs="Times New Roman"/>
          <w:sz w:val="24"/>
          <w:szCs w:val="24"/>
        </w:rPr>
        <w:footnoteReference w:id="54"/>
      </w:r>
      <w:r w:rsidR="00AC47D7">
        <w:rPr>
          <w:rFonts w:ascii="Times New Roman" w:eastAsia="Times New Roman" w:hAnsi="Times New Roman" w:cs="Times New Roman"/>
          <w:sz w:val="24"/>
          <w:szCs w:val="24"/>
        </w:rPr>
        <w:t xml:space="preserve"> The judgment in case </w:t>
      </w:r>
      <w:r w:rsidR="009827B9">
        <w:rPr>
          <w:rFonts w:ascii="Times New Roman" w:eastAsia="Times New Roman" w:hAnsi="Times New Roman" w:cs="Times New Roman"/>
          <w:i/>
          <w:sz w:val="24"/>
          <w:szCs w:val="24"/>
        </w:rPr>
        <w:t>ML</w:t>
      </w:r>
      <w:r w:rsidR="00AC47D7">
        <w:rPr>
          <w:rFonts w:ascii="Times New Roman" w:eastAsia="Times New Roman" w:hAnsi="Times New Roman" w:cs="Times New Roman"/>
          <w:sz w:val="24"/>
          <w:szCs w:val="24"/>
        </w:rPr>
        <w:t xml:space="preserve"> also </w:t>
      </w:r>
      <w:r w:rsidR="00AE07BE">
        <w:rPr>
          <w:rFonts w:ascii="Times New Roman" w:eastAsia="Times New Roman" w:hAnsi="Times New Roman" w:cs="Times New Roman"/>
          <w:sz w:val="24"/>
          <w:szCs w:val="24"/>
        </w:rPr>
        <w:t xml:space="preserve">fits into a more general trend that whenever the Court of Justice delivers a ground-breaking judgment </w:t>
      </w:r>
      <w:r w:rsidR="003A5C81">
        <w:rPr>
          <w:rFonts w:ascii="Times New Roman" w:eastAsia="Times New Roman" w:hAnsi="Times New Roman" w:cs="Times New Roman"/>
          <w:sz w:val="24"/>
          <w:szCs w:val="24"/>
        </w:rPr>
        <w:t>setting a principle it frequently shies from giving it a satisfactory level of detail.</w:t>
      </w:r>
      <w:r w:rsidR="003A5C81">
        <w:rPr>
          <w:rStyle w:val="FootnoteReference"/>
          <w:rFonts w:ascii="Times New Roman" w:eastAsia="Times New Roman" w:hAnsi="Times New Roman" w:cs="Times New Roman"/>
          <w:sz w:val="24"/>
          <w:szCs w:val="24"/>
        </w:rPr>
        <w:footnoteReference w:id="55"/>
      </w:r>
      <w:r w:rsidR="003A5C81">
        <w:rPr>
          <w:rFonts w:ascii="Times New Roman" w:eastAsia="Times New Roman" w:hAnsi="Times New Roman" w:cs="Times New Roman"/>
          <w:sz w:val="24"/>
          <w:szCs w:val="24"/>
        </w:rPr>
        <w:t xml:space="preserve"> </w:t>
      </w:r>
      <w:r w:rsidR="006F0E9C">
        <w:rPr>
          <w:rFonts w:ascii="Times New Roman" w:eastAsia="Times New Roman" w:hAnsi="Times New Roman" w:cs="Times New Roman"/>
          <w:sz w:val="24"/>
          <w:szCs w:val="24"/>
        </w:rPr>
        <w:t>Consequentially, domestic courts follow with further references</w:t>
      </w:r>
      <w:r w:rsidR="002451D5">
        <w:rPr>
          <w:rFonts w:ascii="Times New Roman" w:eastAsia="Times New Roman" w:hAnsi="Times New Roman" w:cs="Times New Roman"/>
          <w:sz w:val="24"/>
          <w:szCs w:val="24"/>
        </w:rPr>
        <w:t>,</w:t>
      </w:r>
      <w:r w:rsidR="006F0E9C">
        <w:rPr>
          <w:rFonts w:ascii="Times New Roman" w:eastAsia="Times New Roman" w:hAnsi="Times New Roman" w:cs="Times New Roman"/>
          <w:sz w:val="24"/>
          <w:szCs w:val="24"/>
        </w:rPr>
        <w:t xml:space="preserve"> seeking a clarification of </w:t>
      </w:r>
      <w:r w:rsidR="00551BC3">
        <w:rPr>
          <w:rFonts w:ascii="Times New Roman" w:eastAsia="Times New Roman" w:hAnsi="Times New Roman" w:cs="Times New Roman"/>
          <w:sz w:val="24"/>
          <w:szCs w:val="24"/>
        </w:rPr>
        <w:t>the earlier jurisprudential output.</w:t>
      </w:r>
      <w:r w:rsidR="00551BC3">
        <w:rPr>
          <w:rStyle w:val="FootnoteReference"/>
          <w:rFonts w:ascii="Times New Roman" w:eastAsia="Times New Roman" w:hAnsi="Times New Roman" w:cs="Times New Roman"/>
          <w:sz w:val="24"/>
          <w:szCs w:val="24"/>
        </w:rPr>
        <w:footnoteReference w:id="56"/>
      </w:r>
      <w:r w:rsidR="00551BC3">
        <w:rPr>
          <w:rFonts w:ascii="Times New Roman" w:eastAsia="Times New Roman" w:hAnsi="Times New Roman" w:cs="Times New Roman"/>
          <w:sz w:val="24"/>
          <w:szCs w:val="24"/>
        </w:rPr>
        <w:t xml:space="preserve"> </w:t>
      </w:r>
      <w:r w:rsidR="002451D5">
        <w:rPr>
          <w:rFonts w:ascii="Times New Roman" w:eastAsia="Times New Roman" w:hAnsi="Times New Roman" w:cs="Times New Roman"/>
          <w:sz w:val="24"/>
          <w:szCs w:val="24"/>
        </w:rPr>
        <w:t xml:space="preserve">The </w:t>
      </w:r>
      <w:r w:rsidR="009827B9">
        <w:rPr>
          <w:rFonts w:ascii="Times New Roman" w:eastAsia="Times New Roman" w:hAnsi="Times New Roman" w:cs="Times New Roman"/>
          <w:i/>
          <w:sz w:val="24"/>
          <w:szCs w:val="24"/>
        </w:rPr>
        <w:t>ML</w:t>
      </w:r>
      <w:r w:rsidR="002451D5">
        <w:rPr>
          <w:rFonts w:ascii="Times New Roman" w:eastAsia="Times New Roman" w:hAnsi="Times New Roman" w:cs="Times New Roman"/>
          <w:sz w:val="24"/>
          <w:szCs w:val="24"/>
        </w:rPr>
        <w:t xml:space="preserve"> case is ideal to demonstrate the phenomenon in question</w:t>
      </w:r>
      <w:r w:rsidR="00C55465">
        <w:rPr>
          <w:rFonts w:ascii="Times New Roman" w:eastAsia="Times New Roman" w:hAnsi="Times New Roman" w:cs="Times New Roman"/>
          <w:sz w:val="24"/>
          <w:szCs w:val="24"/>
        </w:rPr>
        <w:t xml:space="preserve"> and, no doubt, further references are due to follow. </w:t>
      </w:r>
      <w:r w:rsidR="001D70AA">
        <w:rPr>
          <w:rFonts w:ascii="Times New Roman" w:eastAsia="Times New Roman" w:hAnsi="Times New Roman" w:cs="Times New Roman"/>
          <w:sz w:val="24"/>
          <w:szCs w:val="24"/>
        </w:rPr>
        <w:t>For the purposes of the analysis that follows it is enough to provide a reminder that the gist of the reference was centred around two main issues.</w:t>
      </w:r>
      <w:r w:rsidR="009A4512">
        <w:rPr>
          <w:rStyle w:val="FootnoteReference"/>
          <w:rFonts w:ascii="Times New Roman" w:eastAsia="Times New Roman" w:hAnsi="Times New Roman" w:cs="Times New Roman"/>
          <w:sz w:val="24"/>
          <w:szCs w:val="24"/>
        </w:rPr>
        <w:footnoteReference w:id="57"/>
      </w:r>
      <w:r w:rsidR="001D70AA">
        <w:rPr>
          <w:rFonts w:ascii="Times New Roman" w:eastAsia="Times New Roman" w:hAnsi="Times New Roman" w:cs="Times New Roman"/>
          <w:sz w:val="24"/>
          <w:szCs w:val="24"/>
        </w:rPr>
        <w:t xml:space="preserve"> Firstly, whether the </w:t>
      </w:r>
      <w:proofErr w:type="spellStart"/>
      <w:r w:rsidR="001D70AA" w:rsidRPr="00CF5A13">
        <w:rPr>
          <w:rFonts w:ascii="Times New Roman" w:eastAsia="Times New Roman" w:hAnsi="Times New Roman" w:cs="Times New Roman"/>
          <w:i/>
          <w:sz w:val="24"/>
          <w:szCs w:val="24"/>
        </w:rPr>
        <w:t>Aranyosi</w:t>
      </w:r>
      <w:proofErr w:type="spellEnd"/>
      <w:r w:rsidR="001D70AA" w:rsidRPr="00CF5A13">
        <w:rPr>
          <w:rFonts w:ascii="Times New Roman" w:eastAsia="Times New Roman" w:hAnsi="Times New Roman" w:cs="Times New Roman"/>
          <w:i/>
          <w:sz w:val="24"/>
          <w:szCs w:val="24"/>
        </w:rPr>
        <w:t xml:space="preserve"> and </w:t>
      </w:r>
      <w:proofErr w:type="spellStart"/>
      <w:r w:rsidR="001D70AA" w:rsidRPr="00CF5A13">
        <w:rPr>
          <w:rFonts w:ascii="Times New Roman" w:eastAsia="Times New Roman" w:hAnsi="Times New Roman" w:cs="Times New Roman"/>
          <w:i/>
          <w:sz w:val="24"/>
          <w:szCs w:val="24"/>
        </w:rPr>
        <w:t>Căldăraru</w:t>
      </w:r>
      <w:proofErr w:type="spellEnd"/>
      <w:r w:rsidR="001D70AA">
        <w:rPr>
          <w:rFonts w:ascii="Times New Roman" w:eastAsia="Times New Roman" w:hAnsi="Times New Roman" w:cs="Times New Roman"/>
          <w:i/>
          <w:sz w:val="24"/>
          <w:szCs w:val="24"/>
        </w:rPr>
        <w:t xml:space="preserve"> </w:t>
      </w:r>
      <w:r w:rsidR="001D70AA">
        <w:rPr>
          <w:rFonts w:ascii="Times New Roman" w:eastAsia="Times New Roman" w:hAnsi="Times New Roman" w:cs="Times New Roman"/>
          <w:sz w:val="24"/>
          <w:szCs w:val="24"/>
        </w:rPr>
        <w:t xml:space="preserve">test requires verification of information regarding all detention conditions in the receiving countries or, in alternative, only those detention centres where the person covered by the European Arrest Warrant is </w:t>
      </w:r>
      <w:r w:rsidR="00BA6DA5">
        <w:rPr>
          <w:rFonts w:ascii="Times New Roman" w:eastAsia="Times New Roman" w:hAnsi="Times New Roman" w:cs="Times New Roman"/>
          <w:sz w:val="24"/>
          <w:szCs w:val="24"/>
        </w:rPr>
        <w:t xml:space="preserve">likely to be transferred to. </w:t>
      </w:r>
      <w:r w:rsidR="006C7F1F">
        <w:rPr>
          <w:rFonts w:ascii="Times New Roman" w:eastAsia="Times New Roman" w:hAnsi="Times New Roman" w:cs="Times New Roman"/>
          <w:sz w:val="24"/>
          <w:szCs w:val="24"/>
        </w:rPr>
        <w:t xml:space="preserve">Secondly, the question was how detailed the request for information should be. </w:t>
      </w:r>
      <w:r w:rsidR="00AA1305">
        <w:rPr>
          <w:rFonts w:ascii="Times New Roman" w:eastAsia="Times New Roman" w:hAnsi="Times New Roman" w:cs="Times New Roman"/>
          <w:sz w:val="24"/>
          <w:szCs w:val="24"/>
        </w:rPr>
        <w:t xml:space="preserve">As </w:t>
      </w:r>
      <w:r w:rsidR="0046536C">
        <w:rPr>
          <w:rFonts w:ascii="Times New Roman" w:eastAsia="Times New Roman" w:hAnsi="Times New Roman" w:cs="Times New Roman"/>
          <w:sz w:val="24"/>
          <w:szCs w:val="24"/>
        </w:rPr>
        <w:t>explained</w:t>
      </w:r>
      <w:r w:rsidR="00AA1305">
        <w:rPr>
          <w:rFonts w:ascii="Times New Roman" w:eastAsia="Times New Roman" w:hAnsi="Times New Roman" w:cs="Times New Roman"/>
          <w:sz w:val="24"/>
          <w:szCs w:val="24"/>
        </w:rPr>
        <w:t xml:space="preserve"> earlier in th</w:t>
      </w:r>
      <w:r w:rsidR="00B94005">
        <w:rPr>
          <w:rFonts w:ascii="Times New Roman" w:eastAsia="Times New Roman" w:hAnsi="Times New Roman" w:cs="Times New Roman"/>
          <w:sz w:val="24"/>
          <w:szCs w:val="24"/>
        </w:rPr>
        <w:t>e present</w:t>
      </w:r>
      <w:r w:rsidR="00AA1305">
        <w:rPr>
          <w:rFonts w:ascii="Times New Roman" w:eastAsia="Times New Roman" w:hAnsi="Times New Roman" w:cs="Times New Roman"/>
          <w:sz w:val="24"/>
          <w:szCs w:val="24"/>
        </w:rPr>
        <w:t xml:space="preserve"> </w:t>
      </w:r>
      <w:r w:rsidR="00DB4036">
        <w:rPr>
          <w:rFonts w:ascii="Times New Roman" w:eastAsia="Times New Roman" w:hAnsi="Times New Roman" w:cs="Times New Roman"/>
          <w:sz w:val="24"/>
          <w:szCs w:val="24"/>
        </w:rPr>
        <w:t>article</w:t>
      </w:r>
      <w:r w:rsidR="00AA1305">
        <w:rPr>
          <w:rFonts w:ascii="Times New Roman" w:eastAsia="Times New Roman" w:hAnsi="Times New Roman" w:cs="Times New Roman"/>
          <w:sz w:val="24"/>
          <w:szCs w:val="24"/>
        </w:rPr>
        <w:t>, o</w:t>
      </w:r>
      <w:r w:rsidR="00A026F2">
        <w:rPr>
          <w:rFonts w:ascii="Times New Roman" w:eastAsia="Times New Roman" w:hAnsi="Times New Roman" w:cs="Times New Roman"/>
          <w:sz w:val="24"/>
          <w:szCs w:val="24"/>
        </w:rPr>
        <w:t xml:space="preserve">n the one hand, the judgment in </w:t>
      </w:r>
      <w:proofErr w:type="spellStart"/>
      <w:r w:rsidR="00A026F2" w:rsidRPr="00CF5A13">
        <w:rPr>
          <w:rFonts w:ascii="Times New Roman" w:eastAsia="Times New Roman" w:hAnsi="Times New Roman" w:cs="Times New Roman"/>
          <w:i/>
          <w:sz w:val="24"/>
          <w:szCs w:val="24"/>
        </w:rPr>
        <w:t>Aranyosi</w:t>
      </w:r>
      <w:proofErr w:type="spellEnd"/>
      <w:r w:rsidR="00A026F2" w:rsidRPr="00CF5A13">
        <w:rPr>
          <w:rFonts w:ascii="Times New Roman" w:eastAsia="Times New Roman" w:hAnsi="Times New Roman" w:cs="Times New Roman"/>
          <w:i/>
          <w:sz w:val="24"/>
          <w:szCs w:val="24"/>
        </w:rPr>
        <w:t xml:space="preserve"> and </w:t>
      </w:r>
      <w:proofErr w:type="spellStart"/>
      <w:r w:rsidR="00A026F2" w:rsidRPr="00CF5A13">
        <w:rPr>
          <w:rFonts w:ascii="Times New Roman" w:eastAsia="Times New Roman" w:hAnsi="Times New Roman" w:cs="Times New Roman"/>
          <w:i/>
          <w:sz w:val="24"/>
          <w:szCs w:val="24"/>
        </w:rPr>
        <w:t>Căldăraru</w:t>
      </w:r>
      <w:proofErr w:type="spellEnd"/>
      <w:r w:rsidR="00A026F2">
        <w:rPr>
          <w:rFonts w:ascii="Times New Roman" w:eastAsia="Times New Roman" w:hAnsi="Times New Roman" w:cs="Times New Roman"/>
          <w:i/>
          <w:sz w:val="24"/>
          <w:szCs w:val="24"/>
        </w:rPr>
        <w:t xml:space="preserve"> </w:t>
      </w:r>
      <w:r w:rsidR="00360810">
        <w:rPr>
          <w:rFonts w:ascii="Times New Roman" w:eastAsia="Times New Roman" w:hAnsi="Times New Roman" w:cs="Times New Roman"/>
          <w:sz w:val="24"/>
          <w:szCs w:val="24"/>
        </w:rPr>
        <w:t xml:space="preserve">gives the national authorities discretion to determine what kind of information is specific enough to meet the test. On the other hand, the question emerges </w:t>
      </w:r>
      <w:r w:rsidR="00167791">
        <w:rPr>
          <w:rFonts w:ascii="Times New Roman" w:eastAsia="Times New Roman" w:hAnsi="Times New Roman" w:cs="Times New Roman"/>
          <w:sz w:val="24"/>
          <w:szCs w:val="24"/>
        </w:rPr>
        <w:t xml:space="preserve">if there are limits to the discretion. </w:t>
      </w:r>
      <w:r w:rsidR="00760DDD">
        <w:rPr>
          <w:rFonts w:ascii="Times New Roman" w:eastAsia="Times New Roman" w:hAnsi="Times New Roman" w:cs="Times New Roman"/>
          <w:sz w:val="24"/>
          <w:szCs w:val="24"/>
        </w:rPr>
        <w:t xml:space="preserve">Arguably, the latter may be inextricably linked to the level of trust in the judicial system at the receiving end. To put it differently, </w:t>
      </w:r>
      <w:r w:rsidR="00ED18F6">
        <w:rPr>
          <w:rFonts w:ascii="Times New Roman" w:eastAsia="Times New Roman" w:hAnsi="Times New Roman" w:cs="Times New Roman"/>
          <w:sz w:val="24"/>
          <w:szCs w:val="24"/>
        </w:rPr>
        <w:t xml:space="preserve">the less trust, the more information may be required and considered to be </w:t>
      </w:r>
      <w:r w:rsidR="000C67F3">
        <w:rPr>
          <w:rFonts w:ascii="Times New Roman" w:eastAsia="Times New Roman" w:hAnsi="Times New Roman" w:cs="Times New Roman"/>
          <w:sz w:val="24"/>
          <w:szCs w:val="24"/>
        </w:rPr>
        <w:t xml:space="preserve">desirably specific. </w:t>
      </w:r>
      <w:r w:rsidR="002E6A23">
        <w:rPr>
          <w:rFonts w:ascii="Times New Roman" w:eastAsia="Times New Roman" w:hAnsi="Times New Roman" w:cs="Times New Roman"/>
          <w:sz w:val="24"/>
          <w:szCs w:val="24"/>
        </w:rPr>
        <w:t xml:space="preserve">It could, of course, also work the other way </w:t>
      </w:r>
      <w:r w:rsidR="0056593C">
        <w:rPr>
          <w:rFonts w:ascii="Times New Roman" w:eastAsia="Times New Roman" w:hAnsi="Times New Roman" w:cs="Times New Roman"/>
          <w:sz w:val="24"/>
          <w:szCs w:val="24"/>
        </w:rPr>
        <w:t>around</w:t>
      </w:r>
      <w:r w:rsidR="002E6A23">
        <w:rPr>
          <w:rFonts w:ascii="Times New Roman" w:eastAsia="Times New Roman" w:hAnsi="Times New Roman" w:cs="Times New Roman"/>
          <w:sz w:val="24"/>
          <w:szCs w:val="24"/>
        </w:rPr>
        <w:t xml:space="preserve">: the more trust, the less information </w:t>
      </w:r>
      <w:r w:rsidR="006304E1">
        <w:rPr>
          <w:rFonts w:ascii="Times New Roman" w:eastAsia="Times New Roman" w:hAnsi="Times New Roman" w:cs="Times New Roman"/>
          <w:sz w:val="24"/>
          <w:szCs w:val="24"/>
        </w:rPr>
        <w:t>is</w:t>
      </w:r>
      <w:r w:rsidR="002E6A23">
        <w:rPr>
          <w:rFonts w:ascii="Times New Roman" w:eastAsia="Times New Roman" w:hAnsi="Times New Roman" w:cs="Times New Roman"/>
          <w:sz w:val="24"/>
          <w:szCs w:val="24"/>
        </w:rPr>
        <w:t xml:space="preserve"> required</w:t>
      </w:r>
      <w:r w:rsidR="006304E1">
        <w:rPr>
          <w:rFonts w:ascii="Times New Roman" w:eastAsia="Times New Roman" w:hAnsi="Times New Roman" w:cs="Times New Roman"/>
          <w:sz w:val="24"/>
          <w:szCs w:val="24"/>
        </w:rPr>
        <w:t>.</w:t>
      </w:r>
    </w:p>
    <w:p w14:paraId="7AF45EE3" w14:textId="77777777" w:rsidR="00997556" w:rsidRDefault="00997556">
      <w:pPr>
        <w:pStyle w:val="Default"/>
        <w:rPr>
          <w:rFonts w:ascii="Times New Roman" w:eastAsia="Times New Roman" w:hAnsi="Times New Roman" w:cs="Times New Roman"/>
          <w:sz w:val="24"/>
          <w:szCs w:val="24"/>
        </w:rPr>
      </w:pPr>
    </w:p>
    <w:p w14:paraId="0BE9177D" w14:textId="18A41500" w:rsidR="00997556" w:rsidRPr="00B87D8F" w:rsidRDefault="00E71289">
      <w:pPr>
        <w:pStyle w:val="Default"/>
        <w:rPr>
          <w:rFonts w:ascii="Times New Roman" w:eastAsia="Times New Roman" w:hAnsi="Times New Roman" w:cs="Times New Roman"/>
          <w:i/>
          <w:sz w:val="24"/>
          <w:szCs w:val="24"/>
        </w:rPr>
      </w:pPr>
      <w:r w:rsidRPr="00B87D8F">
        <w:rPr>
          <w:rFonts w:ascii="Times New Roman" w:eastAsia="Times New Roman" w:hAnsi="Times New Roman" w:cs="Times New Roman"/>
          <w:i/>
          <w:sz w:val="24"/>
          <w:szCs w:val="24"/>
        </w:rPr>
        <w:t xml:space="preserve">3.3.2. </w:t>
      </w:r>
      <w:r w:rsidR="00B87D8F" w:rsidRPr="00B87D8F">
        <w:rPr>
          <w:rFonts w:ascii="Times New Roman" w:eastAsia="Times New Roman" w:hAnsi="Times New Roman" w:cs="Times New Roman"/>
          <w:i/>
          <w:sz w:val="24"/>
          <w:szCs w:val="24"/>
        </w:rPr>
        <w:t>How deep is your trust?</w:t>
      </w:r>
    </w:p>
    <w:p w14:paraId="3A48D5B1" w14:textId="173AC99C" w:rsidR="00E71289" w:rsidRDefault="00E71289">
      <w:pPr>
        <w:pStyle w:val="Default"/>
        <w:rPr>
          <w:rFonts w:ascii="Times New Roman" w:eastAsia="Times New Roman" w:hAnsi="Times New Roman" w:cs="Times New Roman"/>
          <w:sz w:val="24"/>
          <w:szCs w:val="24"/>
        </w:rPr>
      </w:pPr>
    </w:p>
    <w:p w14:paraId="45552523" w14:textId="7309CCB9" w:rsidR="00E71289" w:rsidRDefault="00413DE2" w:rsidP="004367C1">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w:t>
      </w:r>
      <w:r w:rsidR="00B22317">
        <w:rPr>
          <w:rFonts w:ascii="Times New Roman" w:eastAsia="Times New Roman" w:hAnsi="Times New Roman" w:cs="Times New Roman"/>
          <w:sz w:val="24"/>
          <w:szCs w:val="24"/>
        </w:rPr>
        <w:t xml:space="preserve">C-220/18PPU </w:t>
      </w:r>
      <w:r w:rsidR="00B22317" w:rsidRPr="00B22317">
        <w:rPr>
          <w:rFonts w:ascii="Times New Roman" w:eastAsia="Times New Roman" w:hAnsi="Times New Roman" w:cs="Times New Roman"/>
          <w:i/>
          <w:sz w:val="24"/>
          <w:szCs w:val="24"/>
        </w:rPr>
        <w:t>ML</w:t>
      </w:r>
      <w:r>
        <w:rPr>
          <w:rFonts w:ascii="Times New Roman" w:eastAsia="Times New Roman" w:hAnsi="Times New Roman" w:cs="Times New Roman"/>
          <w:sz w:val="24"/>
          <w:szCs w:val="24"/>
        </w:rPr>
        <w:t xml:space="preserve"> the levels of trust in the Hungarian detention centres w</w:t>
      </w:r>
      <w:r w:rsidR="006304E1">
        <w:rPr>
          <w:rFonts w:ascii="Times New Roman" w:eastAsia="Times New Roman" w:hAnsi="Times New Roman" w:cs="Times New Roman"/>
          <w:sz w:val="24"/>
          <w:szCs w:val="24"/>
        </w:rPr>
        <w:t>ere</w:t>
      </w:r>
      <w:r w:rsidR="004367C1">
        <w:rPr>
          <w:rFonts w:ascii="Times New Roman" w:eastAsia="Times New Roman" w:hAnsi="Times New Roman" w:cs="Times New Roman"/>
          <w:sz w:val="24"/>
          <w:szCs w:val="24"/>
        </w:rPr>
        <w:t>, perhaps, not</w:t>
      </w:r>
      <w:r>
        <w:rPr>
          <w:rFonts w:ascii="Times New Roman" w:eastAsia="Times New Roman" w:hAnsi="Times New Roman" w:cs="Times New Roman"/>
          <w:sz w:val="24"/>
          <w:szCs w:val="24"/>
        </w:rPr>
        <w:t xml:space="preserve"> </w:t>
      </w:r>
      <w:r w:rsidR="004367C1">
        <w:rPr>
          <w:rFonts w:ascii="Times New Roman" w:eastAsia="Times New Roman" w:hAnsi="Times New Roman" w:cs="Times New Roman"/>
          <w:sz w:val="24"/>
          <w:szCs w:val="24"/>
        </w:rPr>
        <w:t>particularly impressive</w:t>
      </w:r>
      <w:r w:rsidR="006304E1">
        <w:rPr>
          <w:rFonts w:ascii="Times New Roman" w:eastAsia="Times New Roman" w:hAnsi="Times New Roman" w:cs="Times New Roman"/>
          <w:sz w:val="24"/>
          <w:szCs w:val="24"/>
        </w:rPr>
        <w:t>.</w:t>
      </w:r>
      <w:r w:rsidR="00ED2C64">
        <w:rPr>
          <w:rFonts w:ascii="Times New Roman" w:eastAsia="Times New Roman" w:hAnsi="Times New Roman" w:cs="Times New Roman"/>
          <w:sz w:val="24"/>
          <w:szCs w:val="24"/>
        </w:rPr>
        <w:t xml:space="preserve"> This was hardly surprising bearing in mind the evidence available to the referring court, comprising, </w:t>
      </w:r>
      <w:r w:rsidR="00ED2C64" w:rsidRPr="00237E84">
        <w:rPr>
          <w:rFonts w:ascii="Times New Roman" w:eastAsia="Times New Roman" w:hAnsi="Times New Roman" w:cs="Times New Roman"/>
          <w:i/>
          <w:sz w:val="24"/>
          <w:szCs w:val="24"/>
        </w:rPr>
        <w:t>inter alia</w:t>
      </w:r>
      <w:r w:rsidR="00ED2C64">
        <w:rPr>
          <w:rFonts w:ascii="Times New Roman" w:eastAsia="Times New Roman" w:hAnsi="Times New Roman" w:cs="Times New Roman"/>
          <w:sz w:val="24"/>
          <w:szCs w:val="24"/>
        </w:rPr>
        <w:t>, judgments of the European Court of Human Rights.</w:t>
      </w:r>
      <w:r w:rsidR="00ED2C64">
        <w:rPr>
          <w:rStyle w:val="FootnoteReference"/>
          <w:rFonts w:ascii="Times New Roman" w:eastAsia="Times New Roman" w:hAnsi="Times New Roman" w:cs="Times New Roman"/>
          <w:sz w:val="24"/>
          <w:szCs w:val="24"/>
        </w:rPr>
        <w:footnoteReference w:id="58"/>
      </w:r>
      <w:r w:rsidR="00ED2C64">
        <w:rPr>
          <w:rFonts w:ascii="Times New Roman" w:eastAsia="Times New Roman" w:hAnsi="Times New Roman" w:cs="Times New Roman"/>
          <w:sz w:val="24"/>
          <w:szCs w:val="24"/>
        </w:rPr>
        <w:t xml:space="preserve"> Yet, when looking at the requests for clarification submitted to the Hungarian authorities, i</w:t>
      </w:r>
      <w:r w:rsidR="006304E1">
        <w:rPr>
          <w:rFonts w:ascii="Times New Roman" w:eastAsia="Times New Roman" w:hAnsi="Times New Roman" w:cs="Times New Roman"/>
          <w:sz w:val="24"/>
          <w:szCs w:val="24"/>
        </w:rPr>
        <w:t xml:space="preserve">t may well be that the case was handled by overzealous judges, who wished to know as much </w:t>
      </w:r>
      <w:r w:rsidR="004367C1">
        <w:rPr>
          <w:rFonts w:ascii="Times New Roman" w:eastAsia="Times New Roman" w:hAnsi="Times New Roman" w:cs="Times New Roman"/>
          <w:sz w:val="24"/>
          <w:szCs w:val="24"/>
        </w:rPr>
        <w:t xml:space="preserve">as possible </w:t>
      </w:r>
      <w:r w:rsidR="006304E1">
        <w:rPr>
          <w:rFonts w:ascii="Times New Roman" w:eastAsia="Times New Roman" w:hAnsi="Times New Roman" w:cs="Times New Roman"/>
          <w:sz w:val="24"/>
          <w:szCs w:val="24"/>
        </w:rPr>
        <w:t xml:space="preserve">about the Hungarian detention facilities. </w:t>
      </w:r>
      <w:r w:rsidR="004367C1">
        <w:rPr>
          <w:rFonts w:ascii="Times New Roman" w:eastAsia="Times New Roman" w:hAnsi="Times New Roman" w:cs="Times New Roman"/>
          <w:sz w:val="24"/>
          <w:szCs w:val="24"/>
        </w:rPr>
        <w:t xml:space="preserve">Either way the Court of Justice was </w:t>
      </w:r>
      <w:r w:rsidR="00701AB3">
        <w:rPr>
          <w:rFonts w:ascii="Times New Roman" w:eastAsia="Times New Roman" w:hAnsi="Times New Roman" w:cs="Times New Roman"/>
          <w:sz w:val="24"/>
          <w:szCs w:val="24"/>
        </w:rPr>
        <w:t xml:space="preserve">asked for clarification of the judgment in </w:t>
      </w:r>
      <w:proofErr w:type="spellStart"/>
      <w:r w:rsidR="00701AB3" w:rsidRPr="00CF5A13">
        <w:rPr>
          <w:rFonts w:ascii="Times New Roman" w:eastAsia="Times New Roman" w:hAnsi="Times New Roman" w:cs="Times New Roman"/>
          <w:i/>
          <w:sz w:val="24"/>
          <w:szCs w:val="24"/>
        </w:rPr>
        <w:t>Aranyosi</w:t>
      </w:r>
      <w:proofErr w:type="spellEnd"/>
      <w:r w:rsidR="00701AB3" w:rsidRPr="00CF5A13">
        <w:rPr>
          <w:rFonts w:ascii="Times New Roman" w:eastAsia="Times New Roman" w:hAnsi="Times New Roman" w:cs="Times New Roman"/>
          <w:i/>
          <w:sz w:val="24"/>
          <w:szCs w:val="24"/>
        </w:rPr>
        <w:t xml:space="preserve"> and </w:t>
      </w:r>
      <w:proofErr w:type="spellStart"/>
      <w:r w:rsidR="00701AB3" w:rsidRPr="00CF5A13">
        <w:rPr>
          <w:rFonts w:ascii="Times New Roman" w:eastAsia="Times New Roman" w:hAnsi="Times New Roman" w:cs="Times New Roman"/>
          <w:i/>
          <w:sz w:val="24"/>
          <w:szCs w:val="24"/>
        </w:rPr>
        <w:t>Căldăraru</w:t>
      </w:r>
      <w:proofErr w:type="spellEnd"/>
      <w:r w:rsidR="00701AB3">
        <w:rPr>
          <w:rFonts w:ascii="Times New Roman" w:eastAsia="Times New Roman" w:hAnsi="Times New Roman" w:cs="Times New Roman"/>
          <w:i/>
          <w:sz w:val="24"/>
          <w:szCs w:val="24"/>
        </w:rPr>
        <w:t xml:space="preserve">. </w:t>
      </w:r>
      <w:r w:rsidR="00263EF9">
        <w:rPr>
          <w:rFonts w:ascii="Times New Roman" w:eastAsia="Times New Roman" w:hAnsi="Times New Roman" w:cs="Times New Roman"/>
          <w:sz w:val="24"/>
          <w:szCs w:val="24"/>
        </w:rPr>
        <w:t xml:space="preserve">The preliminary observations made by the judges at </w:t>
      </w:r>
      <w:proofErr w:type="spellStart"/>
      <w:r w:rsidR="00263EF9">
        <w:rPr>
          <w:rFonts w:ascii="Times New Roman" w:eastAsia="Times New Roman" w:hAnsi="Times New Roman" w:cs="Times New Roman"/>
          <w:sz w:val="24"/>
          <w:szCs w:val="24"/>
        </w:rPr>
        <w:t>Kirchberg</w:t>
      </w:r>
      <w:proofErr w:type="spellEnd"/>
      <w:r w:rsidR="00263EF9">
        <w:rPr>
          <w:rFonts w:ascii="Times New Roman" w:eastAsia="Times New Roman" w:hAnsi="Times New Roman" w:cs="Times New Roman"/>
          <w:sz w:val="24"/>
          <w:szCs w:val="24"/>
        </w:rPr>
        <w:t xml:space="preserve"> offer domestic judges, including the referring court, nothing new. The Court of Justice has provided </w:t>
      </w:r>
      <w:r w:rsidR="001459D5">
        <w:rPr>
          <w:rFonts w:ascii="Times New Roman" w:eastAsia="Times New Roman" w:hAnsi="Times New Roman" w:cs="Times New Roman"/>
          <w:sz w:val="24"/>
          <w:szCs w:val="24"/>
        </w:rPr>
        <w:t>the systemic background</w:t>
      </w:r>
      <w:r w:rsidR="00244495">
        <w:rPr>
          <w:rFonts w:ascii="Times New Roman" w:eastAsia="Times New Roman" w:hAnsi="Times New Roman" w:cs="Times New Roman"/>
          <w:sz w:val="24"/>
          <w:szCs w:val="24"/>
        </w:rPr>
        <w:t xml:space="preserve"> of the principles of mutual trust and mutual recognition, which is well-</w:t>
      </w:r>
      <w:r w:rsidR="001459D5">
        <w:rPr>
          <w:rFonts w:ascii="Times New Roman" w:eastAsia="Times New Roman" w:hAnsi="Times New Roman" w:cs="Times New Roman"/>
          <w:sz w:val="24"/>
          <w:szCs w:val="24"/>
        </w:rPr>
        <w:t>known from its previous jurisprudence.</w:t>
      </w:r>
      <w:r w:rsidR="001459D5">
        <w:rPr>
          <w:rStyle w:val="FootnoteReference"/>
          <w:rFonts w:ascii="Times New Roman" w:eastAsia="Times New Roman" w:hAnsi="Times New Roman" w:cs="Times New Roman"/>
          <w:sz w:val="24"/>
          <w:szCs w:val="24"/>
        </w:rPr>
        <w:footnoteReference w:id="59"/>
      </w:r>
      <w:r w:rsidR="001459D5">
        <w:rPr>
          <w:rFonts w:ascii="Times New Roman" w:eastAsia="Times New Roman" w:hAnsi="Times New Roman" w:cs="Times New Roman"/>
          <w:sz w:val="24"/>
          <w:szCs w:val="24"/>
        </w:rPr>
        <w:t xml:space="preserve"> </w:t>
      </w:r>
      <w:r w:rsidR="00811844">
        <w:rPr>
          <w:rFonts w:ascii="Times New Roman" w:eastAsia="Times New Roman" w:hAnsi="Times New Roman" w:cs="Times New Roman"/>
          <w:sz w:val="24"/>
          <w:szCs w:val="24"/>
        </w:rPr>
        <w:t>However, the par</w:t>
      </w:r>
      <w:r w:rsidR="00777FD4">
        <w:rPr>
          <w:rFonts w:ascii="Times New Roman" w:eastAsia="Times New Roman" w:hAnsi="Times New Roman" w:cs="Times New Roman"/>
          <w:sz w:val="24"/>
          <w:szCs w:val="24"/>
        </w:rPr>
        <w:t>ts of the reasoning that follow are</w:t>
      </w:r>
      <w:r w:rsidR="00811844">
        <w:rPr>
          <w:rFonts w:ascii="Times New Roman" w:eastAsia="Times New Roman" w:hAnsi="Times New Roman" w:cs="Times New Roman"/>
          <w:sz w:val="24"/>
          <w:szCs w:val="24"/>
        </w:rPr>
        <w:t xml:space="preserve"> undoubtedly </w:t>
      </w:r>
      <w:r w:rsidR="00F52C30">
        <w:rPr>
          <w:rFonts w:ascii="Times New Roman" w:eastAsia="Times New Roman" w:hAnsi="Times New Roman" w:cs="Times New Roman"/>
          <w:sz w:val="24"/>
          <w:szCs w:val="24"/>
        </w:rPr>
        <w:t xml:space="preserve">very useful from the perspective of national judges. </w:t>
      </w:r>
    </w:p>
    <w:p w14:paraId="5B811DF1" w14:textId="5027C198" w:rsidR="00F52C30" w:rsidRDefault="00F52C30" w:rsidP="004367C1">
      <w:pPr>
        <w:pStyle w:val="Default"/>
        <w:jc w:val="both"/>
        <w:rPr>
          <w:rFonts w:ascii="Times New Roman" w:eastAsia="Times New Roman" w:hAnsi="Times New Roman" w:cs="Times New Roman"/>
          <w:sz w:val="24"/>
          <w:szCs w:val="24"/>
        </w:rPr>
      </w:pPr>
    </w:p>
    <w:p w14:paraId="203AD091" w14:textId="3C22AAB9" w:rsidR="00F52C30" w:rsidRPr="00A4354E" w:rsidRDefault="00F52C30" w:rsidP="004367C1">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begin with, the Court of Justice has attended to the relevance of a new legal remedy available as per Hungarian law to chall</w:t>
      </w:r>
      <w:r w:rsidR="005C2B2E">
        <w:rPr>
          <w:rFonts w:ascii="Times New Roman" w:eastAsia="Times New Roman" w:hAnsi="Times New Roman" w:cs="Times New Roman"/>
          <w:sz w:val="24"/>
          <w:szCs w:val="24"/>
        </w:rPr>
        <w:t xml:space="preserve">enge the legality of detention conditions. </w:t>
      </w:r>
      <w:r w:rsidR="00771F1F">
        <w:rPr>
          <w:rFonts w:ascii="Times New Roman" w:eastAsia="Times New Roman" w:hAnsi="Times New Roman" w:cs="Times New Roman"/>
          <w:sz w:val="24"/>
          <w:szCs w:val="24"/>
        </w:rPr>
        <w:t xml:space="preserve">The judges clarified that the existence of such remedy may not, </w:t>
      </w:r>
      <w:r w:rsidR="00771F1F" w:rsidRPr="003020B1">
        <w:rPr>
          <w:rFonts w:ascii="Times New Roman" w:eastAsia="Times New Roman" w:hAnsi="Times New Roman" w:cs="Times New Roman"/>
          <w:i/>
          <w:sz w:val="24"/>
          <w:szCs w:val="24"/>
        </w:rPr>
        <w:t>per se</w:t>
      </w:r>
      <w:r w:rsidR="00771F1F">
        <w:rPr>
          <w:rFonts w:ascii="Times New Roman" w:eastAsia="Times New Roman" w:hAnsi="Times New Roman" w:cs="Times New Roman"/>
          <w:sz w:val="24"/>
          <w:szCs w:val="24"/>
        </w:rPr>
        <w:t xml:space="preserve">, </w:t>
      </w:r>
      <w:r w:rsidR="00591620">
        <w:rPr>
          <w:rFonts w:ascii="Times New Roman" w:eastAsia="Times New Roman" w:hAnsi="Times New Roman" w:cs="Times New Roman"/>
          <w:sz w:val="24"/>
          <w:szCs w:val="24"/>
        </w:rPr>
        <w:t xml:space="preserve">rule out the risk of inhuman and degrading treatment at detention centres. </w:t>
      </w:r>
      <w:r w:rsidR="003020B1">
        <w:rPr>
          <w:rFonts w:ascii="Times New Roman" w:eastAsia="Times New Roman" w:hAnsi="Times New Roman" w:cs="Times New Roman"/>
          <w:sz w:val="24"/>
          <w:szCs w:val="24"/>
        </w:rPr>
        <w:t xml:space="preserve">By the same token, it does not free the executing judicial authority from the obligation to conduct the general assessment </w:t>
      </w:r>
      <w:r w:rsidR="00FA10B5">
        <w:rPr>
          <w:rFonts w:ascii="Times New Roman" w:eastAsia="Times New Roman" w:hAnsi="Times New Roman" w:cs="Times New Roman"/>
          <w:sz w:val="24"/>
          <w:szCs w:val="24"/>
        </w:rPr>
        <w:t xml:space="preserve">required by the </w:t>
      </w:r>
      <w:proofErr w:type="spellStart"/>
      <w:r w:rsidR="00FA10B5" w:rsidRPr="00CF5A13">
        <w:rPr>
          <w:rFonts w:ascii="Times New Roman" w:eastAsia="Times New Roman" w:hAnsi="Times New Roman" w:cs="Times New Roman"/>
          <w:i/>
          <w:sz w:val="24"/>
          <w:szCs w:val="24"/>
        </w:rPr>
        <w:t>Aranyosi</w:t>
      </w:r>
      <w:proofErr w:type="spellEnd"/>
      <w:r w:rsidR="00FA10B5" w:rsidRPr="00CF5A13">
        <w:rPr>
          <w:rFonts w:ascii="Times New Roman" w:eastAsia="Times New Roman" w:hAnsi="Times New Roman" w:cs="Times New Roman"/>
          <w:i/>
          <w:sz w:val="24"/>
          <w:szCs w:val="24"/>
        </w:rPr>
        <w:t xml:space="preserve"> and </w:t>
      </w:r>
      <w:proofErr w:type="spellStart"/>
      <w:r w:rsidR="00FA10B5" w:rsidRPr="00CF5A13">
        <w:rPr>
          <w:rFonts w:ascii="Times New Roman" w:eastAsia="Times New Roman" w:hAnsi="Times New Roman" w:cs="Times New Roman"/>
          <w:i/>
          <w:sz w:val="24"/>
          <w:szCs w:val="24"/>
        </w:rPr>
        <w:t>Căldăraru</w:t>
      </w:r>
      <w:proofErr w:type="spellEnd"/>
      <w:r w:rsidR="00FA10B5">
        <w:rPr>
          <w:rFonts w:ascii="Times New Roman" w:eastAsia="Times New Roman" w:hAnsi="Times New Roman" w:cs="Times New Roman"/>
          <w:i/>
          <w:sz w:val="24"/>
          <w:szCs w:val="24"/>
        </w:rPr>
        <w:t xml:space="preserve"> </w:t>
      </w:r>
      <w:r w:rsidR="00FA10B5">
        <w:rPr>
          <w:rFonts w:ascii="Times New Roman" w:eastAsia="Times New Roman" w:hAnsi="Times New Roman" w:cs="Times New Roman"/>
          <w:sz w:val="24"/>
          <w:szCs w:val="24"/>
        </w:rPr>
        <w:t xml:space="preserve">test. </w:t>
      </w:r>
      <w:r w:rsidR="00E90213">
        <w:rPr>
          <w:rFonts w:ascii="Times New Roman" w:eastAsia="Times New Roman" w:hAnsi="Times New Roman" w:cs="Times New Roman"/>
          <w:sz w:val="24"/>
          <w:szCs w:val="24"/>
        </w:rPr>
        <w:t xml:space="preserve">The Court in turn has proceeded to clarify </w:t>
      </w:r>
      <w:r w:rsidR="00050E7B">
        <w:rPr>
          <w:rFonts w:ascii="Times New Roman" w:eastAsia="Times New Roman" w:hAnsi="Times New Roman" w:cs="Times New Roman"/>
          <w:sz w:val="24"/>
          <w:szCs w:val="24"/>
        </w:rPr>
        <w:t xml:space="preserve">how much information may be required as a supplementary clarification by the executing authority. </w:t>
      </w:r>
      <w:r w:rsidR="00164C3E">
        <w:rPr>
          <w:rFonts w:ascii="Times New Roman" w:eastAsia="Times New Roman" w:hAnsi="Times New Roman" w:cs="Times New Roman"/>
          <w:sz w:val="24"/>
          <w:szCs w:val="24"/>
        </w:rPr>
        <w:t xml:space="preserve">It is notable that in the case at hand the German authorities sent a total of 78 questions to their Hungarian counterparts. </w:t>
      </w:r>
      <w:r w:rsidR="00E208DE">
        <w:rPr>
          <w:rFonts w:ascii="Times New Roman" w:eastAsia="Times New Roman" w:hAnsi="Times New Roman" w:cs="Times New Roman"/>
          <w:sz w:val="24"/>
          <w:szCs w:val="24"/>
        </w:rPr>
        <w:t xml:space="preserve">This, as argued earlier, may be the evidence of limited trust combined, perhaps, with a pinch of </w:t>
      </w:r>
      <w:r w:rsidR="009D758D">
        <w:rPr>
          <w:rFonts w:ascii="Times New Roman" w:eastAsia="Times New Roman" w:hAnsi="Times New Roman" w:cs="Times New Roman"/>
          <w:sz w:val="24"/>
          <w:szCs w:val="24"/>
        </w:rPr>
        <w:t>overzealousness</w:t>
      </w:r>
      <w:r w:rsidR="00E208DE">
        <w:rPr>
          <w:rFonts w:ascii="Times New Roman" w:eastAsia="Times New Roman" w:hAnsi="Times New Roman" w:cs="Times New Roman"/>
          <w:sz w:val="24"/>
          <w:szCs w:val="24"/>
        </w:rPr>
        <w:t>.</w:t>
      </w:r>
      <w:r w:rsidR="00A4354E">
        <w:rPr>
          <w:rFonts w:ascii="Times New Roman" w:eastAsia="Times New Roman" w:hAnsi="Times New Roman" w:cs="Times New Roman"/>
          <w:sz w:val="24"/>
          <w:szCs w:val="24"/>
        </w:rPr>
        <w:t xml:space="preserve"> Nevertheless, it allowed the Court of Justice to provide a necessary clarification of its earlier ruling in </w:t>
      </w:r>
      <w:proofErr w:type="spellStart"/>
      <w:r w:rsidR="00A4354E" w:rsidRPr="00CF5A13">
        <w:rPr>
          <w:rFonts w:ascii="Times New Roman" w:eastAsia="Times New Roman" w:hAnsi="Times New Roman" w:cs="Times New Roman"/>
          <w:i/>
          <w:sz w:val="24"/>
          <w:szCs w:val="24"/>
        </w:rPr>
        <w:t>Aranyosi</w:t>
      </w:r>
      <w:proofErr w:type="spellEnd"/>
      <w:r w:rsidR="00A4354E" w:rsidRPr="00CF5A13">
        <w:rPr>
          <w:rFonts w:ascii="Times New Roman" w:eastAsia="Times New Roman" w:hAnsi="Times New Roman" w:cs="Times New Roman"/>
          <w:i/>
          <w:sz w:val="24"/>
          <w:szCs w:val="24"/>
        </w:rPr>
        <w:t xml:space="preserve"> and </w:t>
      </w:r>
      <w:proofErr w:type="spellStart"/>
      <w:r w:rsidR="00A4354E" w:rsidRPr="00CF5A13">
        <w:rPr>
          <w:rFonts w:ascii="Times New Roman" w:eastAsia="Times New Roman" w:hAnsi="Times New Roman" w:cs="Times New Roman"/>
          <w:i/>
          <w:sz w:val="24"/>
          <w:szCs w:val="24"/>
        </w:rPr>
        <w:t>Căldăraru</w:t>
      </w:r>
      <w:proofErr w:type="spellEnd"/>
      <w:r w:rsidR="00A4354E">
        <w:rPr>
          <w:rFonts w:ascii="Times New Roman" w:eastAsia="Times New Roman" w:hAnsi="Times New Roman" w:cs="Times New Roman"/>
          <w:i/>
          <w:sz w:val="24"/>
          <w:szCs w:val="24"/>
        </w:rPr>
        <w:t xml:space="preserve">. </w:t>
      </w:r>
      <w:r w:rsidR="008C18CD">
        <w:rPr>
          <w:rFonts w:ascii="Times New Roman" w:eastAsia="Times New Roman" w:hAnsi="Times New Roman" w:cs="Times New Roman"/>
          <w:sz w:val="24"/>
          <w:szCs w:val="24"/>
        </w:rPr>
        <w:t xml:space="preserve">Firstly, the executing judicial authority should make enquiries only related to the detention conditions in prisons, where the person subject to European Arrest Warrant may be detained. This includes outlets where the surrendered person will be detained on temporary or transitional basis. </w:t>
      </w:r>
      <w:r w:rsidR="00194F3C" w:rsidRPr="00194F3C">
        <w:rPr>
          <w:rFonts w:ascii="Times New Roman" w:eastAsia="Times New Roman" w:hAnsi="Times New Roman" w:cs="Times New Roman"/>
          <w:i/>
          <w:sz w:val="24"/>
          <w:szCs w:val="24"/>
        </w:rPr>
        <w:t>Au contraire</w:t>
      </w:r>
      <w:r w:rsidR="00194F3C">
        <w:rPr>
          <w:rFonts w:ascii="Times New Roman" w:eastAsia="Times New Roman" w:hAnsi="Times New Roman" w:cs="Times New Roman"/>
          <w:sz w:val="24"/>
          <w:szCs w:val="24"/>
        </w:rPr>
        <w:t xml:space="preserve">, this precludes </w:t>
      </w:r>
      <w:r w:rsidR="006469FE">
        <w:rPr>
          <w:rFonts w:ascii="Times New Roman" w:eastAsia="Times New Roman" w:hAnsi="Times New Roman" w:cs="Times New Roman"/>
          <w:sz w:val="24"/>
          <w:szCs w:val="24"/>
        </w:rPr>
        <w:t xml:space="preserve">general requests covering all national prisons. </w:t>
      </w:r>
      <w:r w:rsidR="002F7855">
        <w:rPr>
          <w:rFonts w:ascii="Times New Roman" w:eastAsia="Times New Roman" w:hAnsi="Times New Roman" w:cs="Times New Roman"/>
          <w:sz w:val="24"/>
          <w:szCs w:val="24"/>
        </w:rPr>
        <w:t xml:space="preserve">Secondly, </w:t>
      </w:r>
      <w:r w:rsidR="00D32B35">
        <w:rPr>
          <w:rFonts w:ascii="Times New Roman" w:eastAsia="Times New Roman" w:hAnsi="Times New Roman" w:cs="Times New Roman"/>
          <w:sz w:val="24"/>
          <w:szCs w:val="24"/>
        </w:rPr>
        <w:t xml:space="preserve">only conditions of detention which are relevant for determination of a real risk of inhuman or degrading treatment should be enquired about and used for the assessment. </w:t>
      </w:r>
      <w:r w:rsidR="006469FE">
        <w:rPr>
          <w:rFonts w:ascii="Times New Roman" w:eastAsia="Times New Roman" w:hAnsi="Times New Roman" w:cs="Times New Roman"/>
          <w:sz w:val="24"/>
          <w:szCs w:val="24"/>
        </w:rPr>
        <w:t xml:space="preserve">In this respect, the Court of Justice has </w:t>
      </w:r>
      <w:r w:rsidR="00DA6CBF">
        <w:rPr>
          <w:rFonts w:ascii="Times New Roman" w:eastAsia="Times New Roman" w:hAnsi="Times New Roman" w:cs="Times New Roman"/>
          <w:sz w:val="24"/>
          <w:szCs w:val="24"/>
        </w:rPr>
        <w:t xml:space="preserve">relied - </w:t>
      </w:r>
      <w:r w:rsidR="006469FE">
        <w:rPr>
          <w:rFonts w:ascii="Times New Roman" w:eastAsia="Times New Roman" w:hAnsi="Times New Roman" w:cs="Times New Roman"/>
          <w:sz w:val="24"/>
          <w:szCs w:val="24"/>
        </w:rPr>
        <w:t xml:space="preserve">as indicators </w:t>
      </w:r>
      <w:r w:rsidR="00DA6CBF">
        <w:rPr>
          <w:rFonts w:ascii="Times New Roman" w:eastAsia="Times New Roman" w:hAnsi="Times New Roman" w:cs="Times New Roman"/>
          <w:sz w:val="24"/>
          <w:szCs w:val="24"/>
        </w:rPr>
        <w:t xml:space="preserve">– on </w:t>
      </w:r>
      <w:r w:rsidR="006469FE">
        <w:rPr>
          <w:rFonts w:ascii="Times New Roman" w:eastAsia="Times New Roman" w:hAnsi="Times New Roman" w:cs="Times New Roman"/>
          <w:sz w:val="24"/>
          <w:szCs w:val="24"/>
        </w:rPr>
        <w:t>relevant standards developed by the European Court of Human Rights.</w:t>
      </w:r>
      <w:r w:rsidR="006902BD">
        <w:rPr>
          <w:rStyle w:val="FootnoteReference"/>
          <w:rFonts w:ascii="Times New Roman" w:eastAsia="Times New Roman" w:hAnsi="Times New Roman" w:cs="Times New Roman"/>
          <w:sz w:val="24"/>
          <w:szCs w:val="24"/>
        </w:rPr>
        <w:footnoteReference w:id="60"/>
      </w:r>
      <w:r w:rsidR="006469FE">
        <w:rPr>
          <w:rFonts w:ascii="Times New Roman" w:eastAsia="Times New Roman" w:hAnsi="Times New Roman" w:cs="Times New Roman"/>
          <w:sz w:val="24"/>
          <w:szCs w:val="24"/>
        </w:rPr>
        <w:t xml:space="preserve"> </w:t>
      </w:r>
      <w:r w:rsidR="001E4308">
        <w:rPr>
          <w:rFonts w:ascii="Times New Roman" w:eastAsia="Times New Roman" w:hAnsi="Times New Roman" w:cs="Times New Roman"/>
          <w:sz w:val="24"/>
          <w:szCs w:val="24"/>
        </w:rPr>
        <w:t>Bearing in mind lack of relevant EU standards this is the most obvious choice, which – among others – provides for domestic judges a useful clarification of interaction between EU law and ECHR standards</w:t>
      </w:r>
      <w:r w:rsidR="00A32465">
        <w:rPr>
          <w:rFonts w:ascii="Times New Roman" w:eastAsia="Times New Roman" w:hAnsi="Times New Roman" w:cs="Times New Roman"/>
          <w:sz w:val="24"/>
          <w:szCs w:val="24"/>
        </w:rPr>
        <w:t xml:space="preserve">. By the same token, it helps them to navigate the </w:t>
      </w:r>
      <w:r w:rsidR="004448A0">
        <w:rPr>
          <w:rFonts w:ascii="Times New Roman" w:eastAsia="Times New Roman" w:hAnsi="Times New Roman" w:cs="Times New Roman"/>
          <w:sz w:val="24"/>
          <w:szCs w:val="24"/>
        </w:rPr>
        <w:t xml:space="preserve">multifaced legal environment they are exposed to. </w:t>
      </w:r>
    </w:p>
    <w:p w14:paraId="2B78B023" w14:textId="3C353D3D" w:rsidR="007D121B" w:rsidRDefault="007D121B">
      <w:pPr>
        <w:pStyle w:val="Default"/>
        <w:rPr>
          <w:rFonts w:ascii="Times New Roman" w:eastAsia="Times New Roman" w:hAnsi="Times New Roman" w:cs="Times New Roman"/>
          <w:sz w:val="24"/>
          <w:szCs w:val="24"/>
        </w:rPr>
      </w:pPr>
    </w:p>
    <w:p w14:paraId="0836D4FB" w14:textId="128E4CA3" w:rsidR="004E2F3A" w:rsidRDefault="00810306">
      <w:pPr>
        <w:pStyle w:val="Default"/>
        <w:rPr>
          <w:rFonts w:ascii="Times New Roman" w:eastAsia="Times New Roman" w:hAnsi="Times New Roman" w:cs="Times New Roman"/>
          <w:b/>
          <w:bCs/>
          <w:sz w:val="24"/>
          <w:szCs w:val="24"/>
        </w:rPr>
      </w:pPr>
      <w:r>
        <w:rPr>
          <w:rFonts w:ascii="Times New Roman" w:hAnsi="Times New Roman"/>
          <w:b/>
          <w:bCs/>
          <w:sz w:val="24"/>
          <w:szCs w:val="24"/>
          <w:lang w:val="en-US"/>
        </w:rPr>
        <w:t>3.4.</w:t>
      </w:r>
      <w:r w:rsidR="00C054D3">
        <w:rPr>
          <w:rFonts w:ascii="Times New Roman" w:hAnsi="Times New Roman"/>
          <w:b/>
          <w:bCs/>
          <w:sz w:val="24"/>
          <w:szCs w:val="24"/>
          <w:lang w:val="en-US"/>
        </w:rPr>
        <w:t xml:space="preserve"> </w:t>
      </w:r>
      <w:r w:rsidR="00C054D3" w:rsidRPr="00C054D3">
        <w:rPr>
          <w:rFonts w:ascii="Times New Roman" w:hAnsi="Times New Roman"/>
          <w:b/>
          <w:bCs/>
          <w:sz w:val="24"/>
          <w:szCs w:val="24"/>
          <w:lang w:val="en-US"/>
        </w:rPr>
        <w:t>Case C-216/18PPPU</w:t>
      </w:r>
      <w:r>
        <w:rPr>
          <w:rFonts w:ascii="Times New Roman" w:hAnsi="Times New Roman"/>
          <w:b/>
          <w:bCs/>
          <w:sz w:val="24"/>
          <w:szCs w:val="24"/>
          <w:lang w:val="en-US"/>
        </w:rPr>
        <w:t xml:space="preserve"> LM: </w:t>
      </w:r>
      <w:proofErr w:type="spellStart"/>
      <w:r>
        <w:rPr>
          <w:rFonts w:ascii="Times New Roman" w:hAnsi="Times New Roman"/>
          <w:b/>
          <w:bCs/>
          <w:sz w:val="24"/>
          <w:szCs w:val="24"/>
          <w:lang w:val="en-US"/>
        </w:rPr>
        <w:t>errrm</w:t>
      </w:r>
      <w:proofErr w:type="spellEnd"/>
      <w:proofErr w:type="gramStart"/>
      <w:r>
        <w:rPr>
          <w:rFonts w:ascii="Times New Roman" w:hAnsi="Times New Roman"/>
          <w:b/>
          <w:bCs/>
          <w:sz w:val="24"/>
          <w:szCs w:val="24"/>
          <w:lang w:val="en-US"/>
        </w:rPr>
        <w:t>…..</w:t>
      </w:r>
      <w:proofErr w:type="gramEnd"/>
      <w:r>
        <w:rPr>
          <w:rFonts w:ascii="Times New Roman" w:hAnsi="Times New Roman"/>
          <w:b/>
          <w:bCs/>
          <w:sz w:val="24"/>
          <w:szCs w:val="24"/>
          <w:lang w:val="en-US"/>
        </w:rPr>
        <w:t>are you independent enough to trust you?</w:t>
      </w:r>
    </w:p>
    <w:p w14:paraId="3A9547FF" w14:textId="77777777" w:rsidR="004E2F3A" w:rsidRDefault="00810306">
      <w:pPr>
        <w:pStyle w:val="Default"/>
        <w:rPr>
          <w:rFonts w:ascii="Times New Roman" w:eastAsia="Times New Roman" w:hAnsi="Times New Roman" w:cs="Times New Roman"/>
          <w:i/>
          <w:iCs/>
          <w:sz w:val="24"/>
          <w:szCs w:val="24"/>
        </w:rPr>
      </w:pPr>
      <w:r>
        <w:rPr>
          <w:rFonts w:ascii="Times New Roman" w:hAnsi="Times New Roman"/>
          <w:i/>
          <w:iCs/>
          <w:sz w:val="24"/>
          <w:szCs w:val="24"/>
          <w:lang w:val="en-US"/>
        </w:rPr>
        <w:t>3.4.1. Introduction</w:t>
      </w:r>
    </w:p>
    <w:p w14:paraId="0BF7DEED" w14:textId="77777777" w:rsidR="004E2F3A" w:rsidRDefault="004E2F3A">
      <w:pPr>
        <w:pStyle w:val="Default"/>
        <w:rPr>
          <w:rFonts w:ascii="Times New Roman" w:eastAsia="Times New Roman" w:hAnsi="Times New Roman" w:cs="Times New Roman"/>
          <w:sz w:val="24"/>
          <w:szCs w:val="24"/>
        </w:rPr>
      </w:pPr>
    </w:p>
    <w:p w14:paraId="3F2FE30B" w14:textId="16340065" w:rsidR="004E2F3A" w:rsidRPr="00425740" w:rsidRDefault="00810306">
      <w:pPr>
        <w:pStyle w:val="Default"/>
        <w:jc w:val="both"/>
        <w:rPr>
          <w:rFonts w:ascii="Times New Roman" w:eastAsia="Times New Roman" w:hAnsi="Times New Roman" w:cs="Times New Roman"/>
          <w:sz w:val="24"/>
          <w:szCs w:val="24"/>
        </w:rPr>
      </w:pPr>
      <w:r>
        <w:rPr>
          <w:rFonts w:ascii="Times New Roman" w:hAnsi="Times New Roman"/>
          <w:sz w:val="24"/>
          <w:szCs w:val="24"/>
          <w:lang w:val="en-US"/>
        </w:rPr>
        <w:t xml:space="preserve">Case C-216/18PPPU </w:t>
      </w:r>
      <w:r w:rsidRPr="00C31F3A">
        <w:rPr>
          <w:rFonts w:ascii="Times New Roman" w:hAnsi="Times New Roman"/>
          <w:i/>
          <w:sz w:val="24"/>
          <w:szCs w:val="24"/>
          <w:lang w:val="en-US"/>
        </w:rPr>
        <w:t>LM</w:t>
      </w:r>
      <w:r>
        <w:rPr>
          <w:rFonts w:ascii="Times New Roman" w:hAnsi="Times New Roman"/>
          <w:sz w:val="24"/>
          <w:szCs w:val="24"/>
          <w:lang w:val="en-US"/>
        </w:rPr>
        <w:t xml:space="preserve"> was delivered against a very precarious political background of a Member State, which has downgraded its rule of law standards in a staggering anti-democratic blitz. Ever since the elections in 2015 the Polish </w:t>
      </w:r>
      <w:r w:rsidR="00425740">
        <w:rPr>
          <w:rFonts w:ascii="Times New Roman" w:hAnsi="Times New Roman"/>
          <w:sz w:val="24"/>
          <w:szCs w:val="24"/>
          <w:lang w:val="en-US"/>
        </w:rPr>
        <w:t xml:space="preserve">Government, the </w:t>
      </w:r>
      <w:r>
        <w:rPr>
          <w:rFonts w:ascii="Times New Roman" w:hAnsi="Times New Roman"/>
          <w:sz w:val="24"/>
          <w:szCs w:val="24"/>
          <w:lang w:val="en-US"/>
        </w:rPr>
        <w:t>Parliament</w:t>
      </w:r>
      <w:r w:rsidR="00425740">
        <w:rPr>
          <w:rFonts w:ascii="Times New Roman" w:hAnsi="Times New Roman"/>
          <w:sz w:val="24"/>
          <w:szCs w:val="24"/>
          <w:lang w:val="en-US"/>
        </w:rPr>
        <w:t xml:space="preserve"> and the President</w:t>
      </w:r>
      <w:r>
        <w:rPr>
          <w:rFonts w:ascii="Times New Roman" w:hAnsi="Times New Roman"/>
          <w:sz w:val="24"/>
          <w:szCs w:val="24"/>
          <w:lang w:val="en-US"/>
        </w:rPr>
        <w:t xml:space="preserve">, driven by the right wing nationalist </w:t>
      </w:r>
      <w:proofErr w:type="spellStart"/>
      <w:r w:rsidRPr="007D121B">
        <w:rPr>
          <w:rFonts w:ascii="Times New Roman" w:hAnsi="Times New Roman"/>
          <w:i/>
          <w:sz w:val="24"/>
          <w:szCs w:val="24"/>
          <w:lang w:val="en-US"/>
        </w:rPr>
        <w:t>Prawo</w:t>
      </w:r>
      <w:proofErr w:type="spellEnd"/>
      <w:r w:rsidRPr="007D121B">
        <w:rPr>
          <w:rFonts w:ascii="Times New Roman" w:hAnsi="Times New Roman"/>
          <w:i/>
          <w:sz w:val="24"/>
          <w:szCs w:val="24"/>
          <w:lang w:val="en-US"/>
        </w:rPr>
        <w:t xml:space="preserve"> </w:t>
      </w:r>
      <w:proofErr w:type="spellStart"/>
      <w:r w:rsidRPr="007D121B">
        <w:rPr>
          <w:rFonts w:ascii="Times New Roman" w:hAnsi="Times New Roman"/>
          <w:i/>
          <w:sz w:val="24"/>
          <w:szCs w:val="24"/>
          <w:lang w:val="en-US"/>
        </w:rPr>
        <w:t>i</w:t>
      </w:r>
      <w:proofErr w:type="spellEnd"/>
      <w:r w:rsidRPr="007D121B">
        <w:rPr>
          <w:rFonts w:ascii="Times New Roman" w:hAnsi="Times New Roman"/>
          <w:i/>
          <w:sz w:val="24"/>
          <w:szCs w:val="24"/>
          <w:lang w:val="en-US"/>
        </w:rPr>
        <w:t xml:space="preserve"> </w:t>
      </w:r>
      <w:proofErr w:type="spellStart"/>
      <w:r w:rsidRPr="007D121B">
        <w:rPr>
          <w:rFonts w:ascii="Times New Roman" w:hAnsi="Times New Roman"/>
          <w:i/>
          <w:sz w:val="24"/>
          <w:szCs w:val="24"/>
          <w:lang w:val="en-US"/>
        </w:rPr>
        <w:t>Sprawiedliwo</w:t>
      </w:r>
      <w:r w:rsidR="00425740" w:rsidRPr="007D121B">
        <w:rPr>
          <w:rFonts w:ascii="Times New Roman" w:hAnsi="Times New Roman"/>
          <w:i/>
          <w:sz w:val="24"/>
          <w:szCs w:val="24"/>
          <w:lang w:val="en-US"/>
        </w:rPr>
        <w:t>ść</w:t>
      </w:r>
      <w:proofErr w:type="spellEnd"/>
      <w:r>
        <w:rPr>
          <w:rFonts w:ascii="Times New Roman" w:hAnsi="Times New Roman"/>
          <w:sz w:val="24"/>
          <w:szCs w:val="24"/>
          <w:lang w:val="en-US"/>
        </w:rPr>
        <w:t xml:space="preserve"> (Law and Justice, </w:t>
      </w:r>
      <w:r w:rsidRPr="00425740">
        <w:rPr>
          <w:rFonts w:ascii="Times New Roman" w:hAnsi="Times New Roman"/>
          <w:i/>
          <w:sz w:val="24"/>
          <w:szCs w:val="24"/>
          <w:lang w:val="en-US"/>
        </w:rPr>
        <w:t>SIC!)</w:t>
      </w:r>
      <w:r w:rsidR="00425740">
        <w:rPr>
          <w:rFonts w:ascii="Times New Roman" w:hAnsi="Times New Roman"/>
          <w:sz w:val="24"/>
          <w:szCs w:val="24"/>
          <w:lang w:val="en-US"/>
        </w:rPr>
        <w:t>, have implemented a series of reforms</w:t>
      </w:r>
      <w:r w:rsidR="00E9149F">
        <w:rPr>
          <w:rFonts w:ascii="Times New Roman" w:hAnsi="Times New Roman"/>
          <w:sz w:val="24"/>
          <w:szCs w:val="24"/>
          <w:lang w:val="en-US"/>
        </w:rPr>
        <w:t>, which largely de-activated the country’s Constitutional Tribunal and heavily undermined the independence of the entire judiciary, including most recently also the Supreme Court.</w:t>
      </w:r>
      <w:r w:rsidR="007F230B">
        <w:rPr>
          <w:rStyle w:val="FootnoteReference"/>
          <w:rFonts w:ascii="Times New Roman" w:hAnsi="Times New Roman"/>
          <w:sz w:val="24"/>
          <w:szCs w:val="24"/>
          <w:lang w:val="en-US"/>
        </w:rPr>
        <w:footnoteReference w:id="61"/>
      </w:r>
      <w:r w:rsidR="00E9149F">
        <w:rPr>
          <w:rFonts w:ascii="Times New Roman" w:hAnsi="Times New Roman"/>
          <w:sz w:val="24"/>
          <w:szCs w:val="24"/>
          <w:lang w:val="en-US"/>
        </w:rPr>
        <w:t xml:space="preserve"> </w:t>
      </w:r>
      <w:r w:rsidR="00067178">
        <w:rPr>
          <w:rFonts w:ascii="Times New Roman" w:hAnsi="Times New Roman"/>
          <w:sz w:val="24"/>
          <w:szCs w:val="24"/>
          <w:lang w:val="en-US"/>
        </w:rPr>
        <w:t>To put it differently, the reforms have considerably blurred the boundaries between the executive and the judiciary</w:t>
      </w:r>
      <w:r w:rsidR="00D16CBE">
        <w:rPr>
          <w:rFonts w:ascii="Times New Roman" w:hAnsi="Times New Roman"/>
          <w:sz w:val="24"/>
          <w:szCs w:val="24"/>
          <w:lang w:val="en-US"/>
        </w:rPr>
        <w:t>, raising the fundamental question whether Poland was still meeting the standard laid down in Article 2 TEU</w:t>
      </w:r>
      <w:r w:rsidR="00067178">
        <w:rPr>
          <w:rFonts w:ascii="Times New Roman" w:hAnsi="Times New Roman"/>
          <w:sz w:val="24"/>
          <w:szCs w:val="24"/>
          <w:lang w:val="en-US"/>
        </w:rPr>
        <w:t>. Not surprisingly this attracted the attention of several international actors</w:t>
      </w:r>
      <w:r w:rsidR="001F3EAC">
        <w:rPr>
          <w:rStyle w:val="FootnoteReference"/>
          <w:rFonts w:ascii="Times New Roman" w:hAnsi="Times New Roman"/>
          <w:sz w:val="24"/>
          <w:szCs w:val="24"/>
          <w:lang w:val="en-US"/>
        </w:rPr>
        <w:footnoteReference w:id="62"/>
      </w:r>
      <w:r w:rsidR="00067178">
        <w:rPr>
          <w:rFonts w:ascii="Times New Roman" w:hAnsi="Times New Roman"/>
          <w:sz w:val="24"/>
          <w:szCs w:val="24"/>
          <w:lang w:val="en-US"/>
        </w:rPr>
        <w:t xml:space="preserve"> and triggered the alarm bells around the European Union. </w:t>
      </w:r>
      <w:r w:rsidR="000C79DC">
        <w:rPr>
          <w:rFonts w:ascii="Times New Roman" w:hAnsi="Times New Roman"/>
          <w:sz w:val="24"/>
          <w:szCs w:val="24"/>
          <w:lang w:val="en-US"/>
        </w:rPr>
        <w:t xml:space="preserve">Alas, it has also </w:t>
      </w:r>
      <w:r w:rsidR="002646BE">
        <w:rPr>
          <w:rFonts w:ascii="Times New Roman" w:hAnsi="Times New Roman"/>
          <w:sz w:val="24"/>
          <w:szCs w:val="24"/>
          <w:lang w:val="en-US"/>
        </w:rPr>
        <w:t xml:space="preserve">raised the questions whether the existing </w:t>
      </w:r>
      <w:proofErr w:type="spellStart"/>
      <w:r w:rsidR="002646BE" w:rsidRPr="00D04AB9">
        <w:rPr>
          <w:rFonts w:ascii="Times New Roman" w:hAnsi="Times New Roman"/>
          <w:i/>
          <w:sz w:val="24"/>
          <w:szCs w:val="24"/>
          <w:lang w:val="en-US"/>
        </w:rPr>
        <w:t>modi</w:t>
      </w:r>
      <w:proofErr w:type="spellEnd"/>
      <w:r w:rsidR="002646BE" w:rsidRPr="00D04AB9">
        <w:rPr>
          <w:rFonts w:ascii="Times New Roman" w:hAnsi="Times New Roman"/>
          <w:i/>
          <w:sz w:val="24"/>
          <w:szCs w:val="24"/>
          <w:lang w:val="en-US"/>
        </w:rPr>
        <w:t xml:space="preserve"> operandi</w:t>
      </w:r>
      <w:r w:rsidR="002646BE">
        <w:rPr>
          <w:rFonts w:ascii="Times New Roman" w:hAnsi="Times New Roman"/>
          <w:sz w:val="24"/>
          <w:szCs w:val="24"/>
          <w:lang w:val="en-US"/>
        </w:rPr>
        <w:t xml:space="preserve"> employed by the European Union to </w:t>
      </w:r>
      <w:r w:rsidR="000D4B63">
        <w:rPr>
          <w:rFonts w:ascii="Times New Roman" w:hAnsi="Times New Roman"/>
          <w:sz w:val="24"/>
          <w:szCs w:val="24"/>
          <w:lang w:val="en-US"/>
        </w:rPr>
        <w:t xml:space="preserve">remedy breaches of EU law by the Member States are fit for purpose and whether they can be utilized </w:t>
      </w:r>
      <w:r w:rsidR="00C06DB2">
        <w:rPr>
          <w:rFonts w:ascii="Times New Roman" w:hAnsi="Times New Roman"/>
          <w:sz w:val="24"/>
          <w:szCs w:val="24"/>
          <w:lang w:val="en-US"/>
        </w:rPr>
        <w:t>when the rule of law is at stake</w:t>
      </w:r>
      <w:r w:rsidR="00AA0535">
        <w:rPr>
          <w:rFonts w:ascii="Times New Roman" w:hAnsi="Times New Roman"/>
          <w:sz w:val="24"/>
          <w:szCs w:val="24"/>
          <w:lang w:val="en-US"/>
        </w:rPr>
        <w:t>.</w:t>
      </w:r>
      <w:r w:rsidR="003A69BB">
        <w:rPr>
          <w:rStyle w:val="FootnoteReference"/>
          <w:rFonts w:ascii="Times New Roman" w:hAnsi="Times New Roman"/>
          <w:sz w:val="24"/>
          <w:szCs w:val="24"/>
          <w:lang w:val="en-US"/>
        </w:rPr>
        <w:footnoteReference w:id="63"/>
      </w:r>
      <w:r w:rsidR="00AA0535">
        <w:rPr>
          <w:rFonts w:ascii="Times New Roman" w:hAnsi="Times New Roman"/>
          <w:sz w:val="24"/>
          <w:szCs w:val="24"/>
          <w:lang w:val="en-US"/>
        </w:rPr>
        <w:t xml:space="preserve"> </w:t>
      </w:r>
      <w:r w:rsidR="002B53C4">
        <w:rPr>
          <w:rFonts w:ascii="Times New Roman" w:hAnsi="Times New Roman"/>
          <w:sz w:val="24"/>
          <w:szCs w:val="24"/>
          <w:lang w:val="en-US"/>
        </w:rPr>
        <w:t xml:space="preserve">When this </w:t>
      </w:r>
      <w:r w:rsidR="00A7060E">
        <w:rPr>
          <w:rFonts w:ascii="Times New Roman" w:hAnsi="Times New Roman"/>
          <w:sz w:val="24"/>
          <w:szCs w:val="24"/>
          <w:lang w:val="en-US"/>
        </w:rPr>
        <w:t>article</w:t>
      </w:r>
      <w:r w:rsidR="002B53C4">
        <w:rPr>
          <w:rFonts w:ascii="Times New Roman" w:hAnsi="Times New Roman"/>
          <w:sz w:val="24"/>
          <w:szCs w:val="24"/>
          <w:lang w:val="en-US"/>
        </w:rPr>
        <w:t xml:space="preserve"> was completed the European Commission was at the stage of testing the waters if the standard infringement proceedings based on Article 258 TFEU could be invoked.</w:t>
      </w:r>
      <w:r w:rsidR="009B343A">
        <w:rPr>
          <w:rFonts w:ascii="Times New Roman" w:hAnsi="Times New Roman"/>
          <w:sz w:val="24"/>
          <w:szCs w:val="24"/>
          <w:lang w:val="en-US"/>
        </w:rPr>
        <w:t xml:space="preserve"> It has already submitted two infractions to the Court of Justice where it openly challenged the compatibility of the changes in the Polish law with, among others, Article 19 TEU.</w:t>
      </w:r>
      <w:r w:rsidR="009B343A">
        <w:rPr>
          <w:rStyle w:val="FootnoteReference"/>
          <w:rFonts w:ascii="Times New Roman" w:hAnsi="Times New Roman"/>
          <w:sz w:val="24"/>
          <w:szCs w:val="24"/>
          <w:lang w:val="en-US"/>
        </w:rPr>
        <w:footnoteReference w:id="64"/>
      </w:r>
      <w:r w:rsidR="002B53C4">
        <w:rPr>
          <w:rFonts w:ascii="Times New Roman" w:hAnsi="Times New Roman"/>
          <w:sz w:val="24"/>
          <w:szCs w:val="24"/>
          <w:lang w:val="en-US"/>
        </w:rPr>
        <w:t xml:space="preserve"> At the same time, it has triggered the </w:t>
      </w:r>
      <w:r w:rsidR="002B53C4" w:rsidRPr="00E633EC">
        <w:rPr>
          <w:rFonts w:ascii="Times New Roman" w:hAnsi="Times New Roman"/>
          <w:i/>
          <w:sz w:val="24"/>
          <w:szCs w:val="24"/>
          <w:lang w:val="en-US"/>
        </w:rPr>
        <w:t>par excellence</w:t>
      </w:r>
      <w:r w:rsidR="002B53C4">
        <w:rPr>
          <w:rFonts w:ascii="Times New Roman" w:hAnsi="Times New Roman"/>
          <w:sz w:val="24"/>
          <w:szCs w:val="24"/>
          <w:lang w:val="en-US"/>
        </w:rPr>
        <w:t xml:space="preserve"> political procedure based on Article 7 TEU.</w:t>
      </w:r>
      <w:r w:rsidR="005F4D8C">
        <w:rPr>
          <w:rStyle w:val="FootnoteReference"/>
          <w:rFonts w:ascii="Times New Roman" w:hAnsi="Times New Roman"/>
          <w:sz w:val="24"/>
          <w:szCs w:val="24"/>
          <w:lang w:val="en-US"/>
        </w:rPr>
        <w:footnoteReference w:id="65"/>
      </w:r>
      <w:r w:rsidR="002B53C4">
        <w:rPr>
          <w:rFonts w:ascii="Times New Roman" w:hAnsi="Times New Roman"/>
          <w:sz w:val="24"/>
          <w:szCs w:val="24"/>
          <w:lang w:val="en-US"/>
        </w:rPr>
        <w:t xml:space="preserve"> </w:t>
      </w:r>
      <w:r w:rsidR="00001FC9">
        <w:rPr>
          <w:rFonts w:ascii="Times New Roman" w:hAnsi="Times New Roman"/>
          <w:sz w:val="24"/>
          <w:szCs w:val="24"/>
          <w:lang w:val="en-US"/>
        </w:rPr>
        <w:t xml:space="preserve">In course of it the European Commission identified </w:t>
      </w:r>
      <w:r w:rsidR="00F97831">
        <w:rPr>
          <w:rFonts w:ascii="Times New Roman" w:hAnsi="Times New Roman"/>
          <w:sz w:val="24"/>
          <w:szCs w:val="24"/>
          <w:lang w:val="en-US"/>
        </w:rPr>
        <w:t xml:space="preserve">several threats to </w:t>
      </w:r>
      <w:r w:rsidR="00E021BF">
        <w:rPr>
          <w:rFonts w:ascii="Times New Roman" w:hAnsi="Times New Roman"/>
          <w:sz w:val="24"/>
          <w:szCs w:val="24"/>
          <w:lang w:val="en-US"/>
        </w:rPr>
        <w:t>respect for the EU values laid down in Article 2 TEU and as per procedural requirements laid down in Article 7(1) TEU it issued a reasoned</w:t>
      </w:r>
      <w:r w:rsidR="00B40B35">
        <w:rPr>
          <w:rFonts w:ascii="Times New Roman" w:hAnsi="Times New Roman"/>
          <w:sz w:val="24"/>
          <w:szCs w:val="24"/>
          <w:lang w:val="en-US"/>
        </w:rPr>
        <w:t xml:space="preserve"> proposal.</w:t>
      </w:r>
      <w:r w:rsidR="00B40B35">
        <w:rPr>
          <w:rStyle w:val="FootnoteReference"/>
          <w:rFonts w:ascii="Times New Roman" w:hAnsi="Times New Roman"/>
          <w:sz w:val="24"/>
          <w:szCs w:val="24"/>
          <w:lang w:val="en-US"/>
        </w:rPr>
        <w:footnoteReference w:id="66"/>
      </w:r>
      <w:r w:rsidR="00BB7C6B">
        <w:rPr>
          <w:rFonts w:ascii="Times New Roman" w:hAnsi="Times New Roman"/>
          <w:sz w:val="24"/>
          <w:szCs w:val="24"/>
          <w:lang w:val="en-US"/>
        </w:rPr>
        <w:t xml:space="preserve"> Furthermore, several Polish courts, including the Supreme Court, have proceeded with references for preliminary ruling aiming for a clarification if the alleged reforms</w:t>
      </w:r>
      <w:r w:rsidR="008E27B6">
        <w:rPr>
          <w:rFonts w:ascii="Times New Roman" w:hAnsi="Times New Roman"/>
          <w:sz w:val="24"/>
          <w:szCs w:val="24"/>
          <w:lang w:val="en-US"/>
        </w:rPr>
        <w:t>, which led to a purge in judiciary, were compatible with EU law.</w:t>
      </w:r>
      <w:r w:rsidR="000A7D22">
        <w:rPr>
          <w:rStyle w:val="FootnoteReference"/>
          <w:rFonts w:ascii="Times New Roman" w:hAnsi="Times New Roman"/>
          <w:sz w:val="24"/>
          <w:szCs w:val="24"/>
          <w:lang w:val="en-US"/>
        </w:rPr>
        <w:footnoteReference w:id="67"/>
      </w:r>
      <w:r w:rsidR="008E27B6">
        <w:rPr>
          <w:rFonts w:ascii="Times New Roman" w:hAnsi="Times New Roman"/>
          <w:sz w:val="24"/>
          <w:szCs w:val="24"/>
          <w:lang w:val="en-US"/>
        </w:rPr>
        <w:t xml:space="preserve"> Not surprisingly, questions were also raised in national courts across the European Union whether</w:t>
      </w:r>
      <w:r w:rsidR="009F0539">
        <w:rPr>
          <w:rFonts w:ascii="Times New Roman" w:hAnsi="Times New Roman"/>
          <w:sz w:val="24"/>
          <w:szCs w:val="24"/>
          <w:lang w:val="en-US"/>
        </w:rPr>
        <w:t xml:space="preserve"> the Polish judicial system should continue to benefit from principles of mutual trust and mutual recognition. This matter, too, reached the </w:t>
      </w:r>
      <w:proofErr w:type="spellStart"/>
      <w:r w:rsidR="009F0539">
        <w:rPr>
          <w:rFonts w:ascii="Times New Roman" w:hAnsi="Times New Roman"/>
          <w:sz w:val="24"/>
          <w:szCs w:val="24"/>
          <w:lang w:val="en-US"/>
        </w:rPr>
        <w:t>Kirchberg</w:t>
      </w:r>
      <w:proofErr w:type="spellEnd"/>
      <w:r w:rsidR="009F0539">
        <w:rPr>
          <w:rFonts w:ascii="Times New Roman" w:hAnsi="Times New Roman"/>
          <w:sz w:val="24"/>
          <w:szCs w:val="24"/>
          <w:lang w:val="en-US"/>
        </w:rPr>
        <w:t xml:space="preserve"> courtroom in case </w:t>
      </w:r>
      <w:r w:rsidR="009F0539" w:rsidRPr="009F0539">
        <w:rPr>
          <w:rFonts w:ascii="Times New Roman" w:hAnsi="Times New Roman"/>
          <w:sz w:val="24"/>
          <w:szCs w:val="24"/>
          <w:lang w:val="en-US"/>
        </w:rPr>
        <w:t xml:space="preserve">C-216/18PPPU </w:t>
      </w:r>
      <w:r w:rsidR="009F0539" w:rsidRPr="009F0539">
        <w:rPr>
          <w:rFonts w:ascii="Times New Roman" w:hAnsi="Times New Roman"/>
          <w:i/>
          <w:sz w:val="24"/>
          <w:szCs w:val="24"/>
          <w:lang w:val="en-US"/>
        </w:rPr>
        <w:t>LM</w:t>
      </w:r>
      <w:r w:rsidR="009F0539">
        <w:rPr>
          <w:rFonts w:ascii="Times New Roman" w:hAnsi="Times New Roman"/>
          <w:sz w:val="24"/>
          <w:szCs w:val="24"/>
          <w:lang w:val="en-US"/>
        </w:rPr>
        <w:t xml:space="preserve">. </w:t>
      </w:r>
    </w:p>
    <w:p w14:paraId="2B25F8A3" w14:textId="77777777" w:rsidR="004E2F3A" w:rsidRDefault="004E2F3A">
      <w:pPr>
        <w:pStyle w:val="Default"/>
        <w:rPr>
          <w:rFonts w:ascii="Times New Roman" w:eastAsia="Times New Roman" w:hAnsi="Times New Roman" w:cs="Times New Roman"/>
          <w:sz w:val="24"/>
          <w:szCs w:val="24"/>
        </w:rPr>
      </w:pPr>
    </w:p>
    <w:p w14:paraId="6AC03E4F" w14:textId="77777777" w:rsidR="004D4E32" w:rsidRPr="00F7215A" w:rsidRDefault="004D4E32">
      <w:pPr>
        <w:pStyle w:val="Default"/>
        <w:rPr>
          <w:rFonts w:ascii="Times New Roman" w:eastAsia="Times New Roman" w:hAnsi="Times New Roman" w:cs="Times New Roman"/>
          <w:i/>
          <w:sz w:val="24"/>
          <w:szCs w:val="24"/>
        </w:rPr>
      </w:pPr>
      <w:r w:rsidRPr="00F7215A">
        <w:rPr>
          <w:rFonts w:ascii="Times New Roman" w:eastAsia="Times New Roman" w:hAnsi="Times New Roman" w:cs="Times New Roman"/>
          <w:i/>
          <w:sz w:val="24"/>
          <w:szCs w:val="24"/>
        </w:rPr>
        <w:t>3.4.2. The quagmires of the High Court of Ireland</w:t>
      </w:r>
    </w:p>
    <w:p w14:paraId="6C234645" w14:textId="77777777" w:rsidR="004D4E32" w:rsidRDefault="004D4E32">
      <w:pPr>
        <w:pStyle w:val="Default"/>
        <w:rPr>
          <w:rFonts w:ascii="Times New Roman" w:eastAsia="Times New Roman" w:hAnsi="Times New Roman" w:cs="Times New Roman"/>
          <w:sz w:val="24"/>
          <w:szCs w:val="24"/>
        </w:rPr>
      </w:pPr>
    </w:p>
    <w:p w14:paraId="204BC2A6" w14:textId="2EFFD53D" w:rsidR="004D4E32" w:rsidRDefault="00F7215A" w:rsidP="00F7215A">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reference in case </w:t>
      </w:r>
      <w:r w:rsidRPr="00F7215A">
        <w:rPr>
          <w:rFonts w:ascii="Times New Roman" w:eastAsia="Times New Roman" w:hAnsi="Times New Roman" w:cs="Times New Roman"/>
          <w:sz w:val="24"/>
          <w:szCs w:val="24"/>
        </w:rPr>
        <w:t xml:space="preserve">C-216/18PPPU </w:t>
      </w:r>
      <w:r w:rsidRPr="007B7336">
        <w:rPr>
          <w:rFonts w:ascii="Times New Roman" w:eastAsia="Times New Roman" w:hAnsi="Times New Roman" w:cs="Times New Roman"/>
          <w:i/>
          <w:sz w:val="24"/>
          <w:szCs w:val="24"/>
        </w:rPr>
        <w:t>LM</w:t>
      </w:r>
      <w:r>
        <w:rPr>
          <w:rFonts w:ascii="Times New Roman" w:eastAsia="Times New Roman" w:hAnsi="Times New Roman" w:cs="Times New Roman"/>
          <w:sz w:val="24"/>
          <w:szCs w:val="24"/>
        </w:rPr>
        <w:t xml:space="preserve"> was submitted by the High Court of Ireland, which received a number of </w:t>
      </w:r>
      <w:r w:rsidR="00033625">
        <w:rPr>
          <w:rFonts w:ascii="Times New Roman" w:eastAsia="Times New Roman" w:hAnsi="Times New Roman" w:cs="Times New Roman"/>
          <w:sz w:val="24"/>
          <w:szCs w:val="24"/>
        </w:rPr>
        <w:t xml:space="preserve">European Arrest Warrants issued by the Polish authorities with the view of conducting criminal prosecution of a Polish national, who was accused of drug trafficking. </w:t>
      </w:r>
      <w:r w:rsidR="00AA4F70">
        <w:rPr>
          <w:rFonts w:ascii="Times New Roman" w:eastAsia="Times New Roman" w:hAnsi="Times New Roman" w:cs="Times New Roman"/>
          <w:sz w:val="24"/>
          <w:szCs w:val="24"/>
        </w:rPr>
        <w:t xml:space="preserve">It should be noted that at the material time the already mentioned Article 7 TEU procedure was already triggered by the European Commission and its recommendations made available to the public. </w:t>
      </w:r>
      <w:r w:rsidR="00343724">
        <w:rPr>
          <w:rFonts w:ascii="Times New Roman" w:eastAsia="Times New Roman" w:hAnsi="Times New Roman" w:cs="Times New Roman"/>
          <w:sz w:val="24"/>
          <w:szCs w:val="24"/>
        </w:rPr>
        <w:t>Bearing this in mind the referring court faced the dilemma whether to clear the surrender of the person in question to Poland or, in the alternative, whether to refuse to do so, taking into account the fact that Polish courts are no longer independent</w:t>
      </w:r>
      <w:r w:rsidR="00A5327A">
        <w:rPr>
          <w:rFonts w:ascii="Times New Roman" w:eastAsia="Times New Roman" w:hAnsi="Times New Roman" w:cs="Times New Roman"/>
          <w:sz w:val="24"/>
          <w:szCs w:val="24"/>
        </w:rPr>
        <w:t xml:space="preserve">. The latter, potentially, could expose the person surrendered to an unfair trial. </w:t>
      </w:r>
      <w:r w:rsidR="007B6179">
        <w:rPr>
          <w:rFonts w:ascii="Times New Roman" w:eastAsia="Times New Roman" w:hAnsi="Times New Roman" w:cs="Times New Roman"/>
          <w:sz w:val="24"/>
          <w:szCs w:val="24"/>
        </w:rPr>
        <w:t>Not surprisingly, the High Court of Ireland proceeded with a reference for preliminary ruling to the Court of Justice.</w:t>
      </w:r>
      <w:r w:rsidR="00895D5E">
        <w:rPr>
          <w:rFonts w:ascii="Times New Roman" w:eastAsia="Times New Roman" w:hAnsi="Times New Roman" w:cs="Times New Roman"/>
          <w:sz w:val="24"/>
          <w:szCs w:val="24"/>
        </w:rPr>
        <w:t xml:space="preserve"> The referring court not only analysed </w:t>
      </w:r>
      <w:r w:rsidR="00895D5E" w:rsidRPr="00895D5E">
        <w:rPr>
          <w:rFonts w:ascii="Times New Roman" w:eastAsia="Times New Roman" w:hAnsi="Times New Roman" w:cs="Times New Roman"/>
          <w:i/>
          <w:sz w:val="24"/>
          <w:szCs w:val="24"/>
        </w:rPr>
        <w:t xml:space="preserve">in </w:t>
      </w:r>
      <w:proofErr w:type="spellStart"/>
      <w:r w:rsidR="00895D5E" w:rsidRPr="00895D5E">
        <w:rPr>
          <w:rFonts w:ascii="Times New Roman" w:eastAsia="Times New Roman" w:hAnsi="Times New Roman" w:cs="Times New Roman"/>
          <w:i/>
          <w:sz w:val="24"/>
          <w:szCs w:val="24"/>
        </w:rPr>
        <w:t>extenso</w:t>
      </w:r>
      <w:proofErr w:type="spellEnd"/>
      <w:r w:rsidR="00895D5E">
        <w:rPr>
          <w:rFonts w:ascii="Times New Roman" w:eastAsia="Times New Roman" w:hAnsi="Times New Roman" w:cs="Times New Roman"/>
          <w:sz w:val="24"/>
          <w:szCs w:val="24"/>
        </w:rPr>
        <w:t xml:space="preserve"> the </w:t>
      </w:r>
      <w:r w:rsidR="007603EC">
        <w:rPr>
          <w:rFonts w:ascii="Times New Roman" w:eastAsia="Times New Roman" w:hAnsi="Times New Roman" w:cs="Times New Roman"/>
          <w:sz w:val="24"/>
          <w:szCs w:val="24"/>
        </w:rPr>
        <w:t xml:space="preserve">situation in Poland but also questioned whether the </w:t>
      </w:r>
      <w:proofErr w:type="spellStart"/>
      <w:r w:rsidR="007603EC" w:rsidRPr="00F7215A">
        <w:rPr>
          <w:rFonts w:ascii="Times New Roman" w:eastAsia="Times New Roman" w:hAnsi="Times New Roman" w:cs="Times New Roman"/>
          <w:i/>
          <w:sz w:val="24"/>
          <w:szCs w:val="24"/>
        </w:rPr>
        <w:t>Aranyosi</w:t>
      </w:r>
      <w:proofErr w:type="spellEnd"/>
      <w:r w:rsidR="007603EC" w:rsidRPr="00F7215A">
        <w:rPr>
          <w:rFonts w:ascii="Times New Roman" w:eastAsia="Times New Roman" w:hAnsi="Times New Roman" w:cs="Times New Roman"/>
          <w:i/>
          <w:sz w:val="24"/>
          <w:szCs w:val="24"/>
        </w:rPr>
        <w:t xml:space="preserve"> and </w:t>
      </w:r>
      <w:proofErr w:type="spellStart"/>
      <w:r w:rsidR="007603EC" w:rsidRPr="00F7215A">
        <w:rPr>
          <w:rFonts w:ascii="Times New Roman" w:eastAsia="Times New Roman" w:hAnsi="Times New Roman" w:cs="Times New Roman"/>
          <w:i/>
          <w:sz w:val="24"/>
          <w:szCs w:val="24"/>
        </w:rPr>
        <w:t>Căldăraru</w:t>
      </w:r>
      <w:proofErr w:type="spellEnd"/>
      <w:r w:rsidR="007603EC">
        <w:rPr>
          <w:rFonts w:ascii="Times New Roman" w:eastAsia="Times New Roman" w:hAnsi="Times New Roman" w:cs="Times New Roman"/>
          <w:i/>
          <w:sz w:val="24"/>
          <w:szCs w:val="24"/>
        </w:rPr>
        <w:t xml:space="preserve"> modus operandi </w:t>
      </w:r>
      <w:r w:rsidR="007603EC" w:rsidRPr="007603EC">
        <w:rPr>
          <w:rFonts w:ascii="Times New Roman" w:eastAsia="Times New Roman" w:hAnsi="Times New Roman" w:cs="Times New Roman"/>
          <w:sz w:val="24"/>
          <w:szCs w:val="24"/>
        </w:rPr>
        <w:t>is fit for purpose</w:t>
      </w:r>
      <w:r w:rsidR="007603EC">
        <w:rPr>
          <w:rFonts w:ascii="Times New Roman" w:eastAsia="Times New Roman" w:hAnsi="Times New Roman" w:cs="Times New Roman"/>
          <w:sz w:val="24"/>
          <w:szCs w:val="24"/>
        </w:rPr>
        <w:t xml:space="preserve"> in the case at hand. </w:t>
      </w:r>
      <w:r w:rsidR="00726F59">
        <w:rPr>
          <w:rFonts w:ascii="Times New Roman" w:eastAsia="Times New Roman" w:hAnsi="Times New Roman" w:cs="Times New Roman"/>
          <w:sz w:val="24"/>
          <w:szCs w:val="24"/>
        </w:rPr>
        <w:t>According to the High Court of Ireland</w:t>
      </w:r>
      <w:r w:rsidR="000D409E">
        <w:rPr>
          <w:rFonts w:ascii="Times New Roman" w:eastAsia="Times New Roman" w:hAnsi="Times New Roman" w:cs="Times New Roman"/>
          <w:sz w:val="24"/>
          <w:szCs w:val="24"/>
        </w:rPr>
        <w:t>,</w:t>
      </w:r>
      <w:r w:rsidR="00726F59">
        <w:rPr>
          <w:rFonts w:ascii="Times New Roman" w:eastAsia="Times New Roman" w:hAnsi="Times New Roman" w:cs="Times New Roman"/>
          <w:sz w:val="24"/>
          <w:szCs w:val="24"/>
        </w:rPr>
        <w:t xml:space="preserve"> it is questionable whether any clarification received from the requesting judicial authority should be </w:t>
      </w:r>
      <w:r w:rsidR="00C80251">
        <w:rPr>
          <w:rFonts w:ascii="Times New Roman" w:eastAsia="Times New Roman" w:hAnsi="Times New Roman" w:cs="Times New Roman"/>
          <w:sz w:val="24"/>
          <w:szCs w:val="24"/>
        </w:rPr>
        <w:t xml:space="preserve">treated as acceptable. To put it differently, would assurances of independence issued by a national court that is not independent, discount the doubts of </w:t>
      </w:r>
      <w:r w:rsidR="0086535C">
        <w:rPr>
          <w:rFonts w:ascii="Times New Roman" w:eastAsia="Times New Roman" w:hAnsi="Times New Roman" w:cs="Times New Roman"/>
          <w:sz w:val="24"/>
          <w:szCs w:val="24"/>
        </w:rPr>
        <w:t>a court asked to entertain a request for surrender.</w:t>
      </w:r>
      <w:r w:rsidR="00AC3ABA">
        <w:rPr>
          <w:rStyle w:val="FootnoteReference"/>
          <w:rFonts w:ascii="Times New Roman" w:eastAsia="Times New Roman" w:hAnsi="Times New Roman" w:cs="Times New Roman"/>
          <w:sz w:val="24"/>
          <w:szCs w:val="24"/>
        </w:rPr>
        <w:footnoteReference w:id="68"/>
      </w:r>
      <w:r w:rsidR="00AC3ABA">
        <w:rPr>
          <w:rFonts w:ascii="Times New Roman" w:eastAsia="Times New Roman" w:hAnsi="Times New Roman" w:cs="Times New Roman"/>
          <w:sz w:val="24"/>
          <w:szCs w:val="24"/>
        </w:rPr>
        <w:t xml:space="preserve"> </w:t>
      </w:r>
      <w:r w:rsidR="00A429E6">
        <w:rPr>
          <w:rFonts w:ascii="Times New Roman" w:eastAsia="Times New Roman" w:hAnsi="Times New Roman" w:cs="Times New Roman"/>
          <w:sz w:val="24"/>
          <w:szCs w:val="24"/>
        </w:rPr>
        <w:t xml:space="preserve">Not surprisingly, the </w:t>
      </w:r>
      <w:r w:rsidR="00135C38">
        <w:rPr>
          <w:rFonts w:ascii="Times New Roman" w:eastAsia="Times New Roman" w:hAnsi="Times New Roman" w:cs="Times New Roman"/>
          <w:sz w:val="24"/>
          <w:szCs w:val="24"/>
        </w:rPr>
        <w:t xml:space="preserve">Court of Justice decided to employ the urgent preliminary ruling procedure and, bearing in mind the gravity of the situation and importance of the legal issues raised, </w:t>
      </w:r>
      <w:r w:rsidR="00963D6F">
        <w:rPr>
          <w:rFonts w:ascii="Times New Roman" w:eastAsia="Times New Roman" w:hAnsi="Times New Roman" w:cs="Times New Roman"/>
          <w:sz w:val="24"/>
          <w:szCs w:val="24"/>
        </w:rPr>
        <w:t xml:space="preserve">the case was assigned to the Grand Chamber. </w:t>
      </w:r>
    </w:p>
    <w:p w14:paraId="15771E44" w14:textId="77777777" w:rsidR="004D4E32" w:rsidRDefault="004D4E32">
      <w:pPr>
        <w:pStyle w:val="Default"/>
        <w:rPr>
          <w:rFonts w:ascii="Times New Roman" w:eastAsia="Times New Roman" w:hAnsi="Times New Roman" w:cs="Times New Roman"/>
          <w:sz w:val="24"/>
          <w:szCs w:val="24"/>
        </w:rPr>
      </w:pPr>
    </w:p>
    <w:p w14:paraId="15D0E6E1" w14:textId="1267EC58" w:rsidR="004D4E32" w:rsidRPr="00F7215A" w:rsidRDefault="004D4E32">
      <w:pPr>
        <w:pStyle w:val="Default"/>
        <w:rPr>
          <w:rFonts w:ascii="Times New Roman" w:eastAsia="Times New Roman" w:hAnsi="Times New Roman" w:cs="Times New Roman"/>
          <w:i/>
          <w:sz w:val="24"/>
          <w:szCs w:val="24"/>
        </w:rPr>
      </w:pPr>
      <w:r w:rsidRPr="00F7215A">
        <w:rPr>
          <w:rFonts w:ascii="Times New Roman" w:eastAsia="Times New Roman" w:hAnsi="Times New Roman" w:cs="Times New Roman"/>
          <w:i/>
          <w:sz w:val="24"/>
          <w:szCs w:val="24"/>
        </w:rPr>
        <w:t xml:space="preserve">3.4.3. </w:t>
      </w:r>
      <w:proofErr w:type="spellStart"/>
      <w:r w:rsidR="00F7215A" w:rsidRPr="00F7215A">
        <w:rPr>
          <w:rFonts w:ascii="Times New Roman" w:eastAsia="Times New Roman" w:hAnsi="Times New Roman" w:cs="Times New Roman"/>
          <w:i/>
          <w:sz w:val="24"/>
          <w:szCs w:val="24"/>
        </w:rPr>
        <w:t>Aranyosi</w:t>
      </w:r>
      <w:proofErr w:type="spellEnd"/>
      <w:r w:rsidR="00F7215A" w:rsidRPr="00F7215A">
        <w:rPr>
          <w:rFonts w:ascii="Times New Roman" w:eastAsia="Times New Roman" w:hAnsi="Times New Roman" w:cs="Times New Roman"/>
          <w:i/>
          <w:sz w:val="24"/>
          <w:szCs w:val="24"/>
        </w:rPr>
        <w:t xml:space="preserve"> and </w:t>
      </w:r>
      <w:proofErr w:type="spellStart"/>
      <w:r w:rsidR="00F7215A" w:rsidRPr="00F7215A">
        <w:rPr>
          <w:rFonts w:ascii="Times New Roman" w:eastAsia="Times New Roman" w:hAnsi="Times New Roman" w:cs="Times New Roman"/>
          <w:i/>
          <w:sz w:val="24"/>
          <w:szCs w:val="24"/>
        </w:rPr>
        <w:t>Căldăraru</w:t>
      </w:r>
      <w:proofErr w:type="spellEnd"/>
      <w:r w:rsidR="00F7215A" w:rsidRPr="00F7215A">
        <w:rPr>
          <w:rFonts w:ascii="Times New Roman" w:eastAsia="Times New Roman" w:hAnsi="Times New Roman" w:cs="Times New Roman"/>
          <w:i/>
          <w:sz w:val="24"/>
          <w:szCs w:val="24"/>
        </w:rPr>
        <w:t xml:space="preserve"> revisited</w:t>
      </w:r>
    </w:p>
    <w:p w14:paraId="0A3606DB" w14:textId="7C4E11EE" w:rsidR="000A0D6A" w:rsidRDefault="000A0D6A">
      <w:pPr>
        <w:pStyle w:val="Default"/>
        <w:rPr>
          <w:rFonts w:ascii="Times New Roman" w:eastAsia="Times New Roman" w:hAnsi="Times New Roman" w:cs="Times New Roman"/>
          <w:sz w:val="24"/>
          <w:szCs w:val="24"/>
        </w:rPr>
      </w:pPr>
    </w:p>
    <w:p w14:paraId="5A12E453" w14:textId="33F708DC" w:rsidR="000D409E" w:rsidRDefault="00D7436D" w:rsidP="00441B77">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judgment rendered by the Court of Justice </w:t>
      </w:r>
      <w:r w:rsidR="00441B77">
        <w:rPr>
          <w:rFonts w:ascii="Times New Roman" w:eastAsia="Times New Roman" w:hAnsi="Times New Roman" w:cs="Times New Roman"/>
          <w:sz w:val="24"/>
          <w:szCs w:val="24"/>
        </w:rPr>
        <w:t xml:space="preserve">raises a plethora of legal issues and merits a comprehensive analysis. </w:t>
      </w:r>
      <w:r w:rsidR="00C05AB0">
        <w:rPr>
          <w:rFonts w:ascii="Times New Roman" w:eastAsia="Times New Roman" w:hAnsi="Times New Roman" w:cs="Times New Roman"/>
          <w:sz w:val="24"/>
          <w:szCs w:val="24"/>
        </w:rPr>
        <w:t>This, no doubt, is likely follow in the academic literature.</w:t>
      </w:r>
      <w:r w:rsidR="0094545D">
        <w:rPr>
          <w:rStyle w:val="FootnoteReference"/>
          <w:rFonts w:ascii="Times New Roman" w:eastAsia="Times New Roman" w:hAnsi="Times New Roman" w:cs="Times New Roman"/>
          <w:sz w:val="24"/>
          <w:szCs w:val="24"/>
        </w:rPr>
        <w:footnoteReference w:id="69"/>
      </w:r>
      <w:r w:rsidR="00C05AB0">
        <w:rPr>
          <w:rFonts w:ascii="Times New Roman" w:eastAsia="Times New Roman" w:hAnsi="Times New Roman" w:cs="Times New Roman"/>
          <w:sz w:val="24"/>
          <w:szCs w:val="24"/>
        </w:rPr>
        <w:t xml:space="preserve"> </w:t>
      </w:r>
      <w:r w:rsidR="00CE44A6">
        <w:rPr>
          <w:rFonts w:ascii="Times New Roman" w:eastAsia="Times New Roman" w:hAnsi="Times New Roman" w:cs="Times New Roman"/>
          <w:sz w:val="24"/>
          <w:szCs w:val="24"/>
        </w:rPr>
        <w:t xml:space="preserve">The present </w:t>
      </w:r>
      <w:r w:rsidR="00A7060E">
        <w:rPr>
          <w:rFonts w:ascii="Times New Roman" w:eastAsia="Times New Roman" w:hAnsi="Times New Roman" w:cs="Times New Roman"/>
          <w:sz w:val="24"/>
          <w:szCs w:val="24"/>
        </w:rPr>
        <w:t>article</w:t>
      </w:r>
      <w:r w:rsidR="00CE44A6">
        <w:rPr>
          <w:rFonts w:ascii="Times New Roman" w:eastAsia="Times New Roman" w:hAnsi="Times New Roman" w:cs="Times New Roman"/>
          <w:sz w:val="24"/>
          <w:szCs w:val="24"/>
        </w:rPr>
        <w:t xml:space="preserve">, as outlined in the introduction, aims to look at </w:t>
      </w:r>
      <w:proofErr w:type="spellStart"/>
      <w:r w:rsidR="00CE44A6" w:rsidRPr="00CE44A6">
        <w:rPr>
          <w:rFonts w:ascii="Times New Roman" w:eastAsia="Times New Roman" w:hAnsi="Times New Roman" w:cs="Times New Roman"/>
          <w:i/>
          <w:sz w:val="24"/>
          <w:szCs w:val="24"/>
        </w:rPr>
        <w:t>Aranyosi</w:t>
      </w:r>
      <w:proofErr w:type="spellEnd"/>
      <w:r w:rsidR="00CE44A6" w:rsidRPr="00CE44A6">
        <w:rPr>
          <w:rFonts w:ascii="Times New Roman" w:eastAsia="Times New Roman" w:hAnsi="Times New Roman" w:cs="Times New Roman"/>
          <w:i/>
          <w:sz w:val="24"/>
          <w:szCs w:val="24"/>
        </w:rPr>
        <w:t xml:space="preserve"> and </w:t>
      </w:r>
      <w:proofErr w:type="spellStart"/>
      <w:r w:rsidR="00CE44A6" w:rsidRPr="00CE44A6">
        <w:rPr>
          <w:rFonts w:ascii="Times New Roman" w:eastAsia="Times New Roman" w:hAnsi="Times New Roman" w:cs="Times New Roman"/>
          <w:i/>
          <w:sz w:val="24"/>
          <w:szCs w:val="24"/>
        </w:rPr>
        <w:t>Căldăraru</w:t>
      </w:r>
      <w:proofErr w:type="spellEnd"/>
      <w:r w:rsidR="00C05AB0">
        <w:rPr>
          <w:rFonts w:ascii="Times New Roman" w:eastAsia="Times New Roman" w:hAnsi="Times New Roman" w:cs="Times New Roman"/>
          <w:sz w:val="24"/>
          <w:szCs w:val="24"/>
        </w:rPr>
        <w:t xml:space="preserve"> </w:t>
      </w:r>
      <w:r w:rsidR="00CE44A6">
        <w:rPr>
          <w:rFonts w:ascii="Times New Roman" w:eastAsia="Times New Roman" w:hAnsi="Times New Roman" w:cs="Times New Roman"/>
          <w:sz w:val="24"/>
          <w:szCs w:val="24"/>
        </w:rPr>
        <w:t xml:space="preserve">line of jurisprudence through the lenses of national judges. Hence, </w:t>
      </w:r>
      <w:r w:rsidR="000538F4">
        <w:rPr>
          <w:rFonts w:ascii="Times New Roman" w:eastAsia="Times New Roman" w:hAnsi="Times New Roman" w:cs="Times New Roman"/>
          <w:sz w:val="24"/>
          <w:szCs w:val="24"/>
        </w:rPr>
        <w:t xml:space="preserve">the analysis that follows </w:t>
      </w:r>
      <w:r w:rsidR="00443828">
        <w:rPr>
          <w:rFonts w:ascii="Times New Roman" w:eastAsia="Times New Roman" w:hAnsi="Times New Roman" w:cs="Times New Roman"/>
          <w:sz w:val="24"/>
          <w:szCs w:val="24"/>
        </w:rPr>
        <w:t>focuses on</w:t>
      </w:r>
      <w:r w:rsidR="00E32EBA">
        <w:rPr>
          <w:rFonts w:ascii="Times New Roman" w:eastAsia="Times New Roman" w:hAnsi="Times New Roman" w:cs="Times New Roman"/>
          <w:sz w:val="24"/>
          <w:szCs w:val="24"/>
        </w:rPr>
        <w:t>ly on</w:t>
      </w:r>
      <w:r w:rsidR="00443828">
        <w:rPr>
          <w:rFonts w:ascii="Times New Roman" w:eastAsia="Times New Roman" w:hAnsi="Times New Roman" w:cs="Times New Roman"/>
          <w:sz w:val="24"/>
          <w:szCs w:val="24"/>
        </w:rPr>
        <w:t xml:space="preserve"> </w:t>
      </w:r>
      <w:r w:rsidR="005E7667">
        <w:rPr>
          <w:rFonts w:ascii="Times New Roman" w:eastAsia="Times New Roman" w:hAnsi="Times New Roman" w:cs="Times New Roman"/>
          <w:sz w:val="24"/>
          <w:szCs w:val="24"/>
        </w:rPr>
        <w:t xml:space="preserve">selected legal issues raised by the judges at </w:t>
      </w:r>
      <w:proofErr w:type="spellStart"/>
      <w:r w:rsidR="005E7667">
        <w:rPr>
          <w:rFonts w:ascii="Times New Roman" w:eastAsia="Times New Roman" w:hAnsi="Times New Roman" w:cs="Times New Roman"/>
          <w:sz w:val="24"/>
          <w:szCs w:val="24"/>
        </w:rPr>
        <w:t>Kirchberg</w:t>
      </w:r>
      <w:proofErr w:type="spellEnd"/>
      <w:r w:rsidR="005E7667">
        <w:rPr>
          <w:rFonts w:ascii="Times New Roman" w:eastAsia="Times New Roman" w:hAnsi="Times New Roman" w:cs="Times New Roman"/>
          <w:sz w:val="24"/>
          <w:szCs w:val="24"/>
        </w:rPr>
        <w:t>.</w:t>
      </w:r>
      <w:r w:rsidR="00470823">
        <w:rPr>
          <w:rFonts w:ascii="Times New Roman" w:eastAsia="Times New Roman" w:hAnsi="Times New Roman" w:cs="Times New Roman"/>
          <w:sz w:val="24"/>
          <w:szCs w:val="24"/>
        </w:rPr>
        <w:t xml:space="preserve"> </w:t>
      </w:r>
    </w:p>
    <w:p w14:paraId="38E4E4A3" w14:textId="402423D2" w:rsidR="005E7667" w:rsidRDefault="005E7667" w:rsidP="00441B77">
      <w:pPr>
        <w:pStyle w:val="Default"/>
        <w:jc w:val="both"/>
        <w:rPr>
          <w:rFonts w:ascii="Times New Roman" w:eastAsia="Times New Roman" w:hAnsi="Times New Roman" w:cs="Times New Roman"/>
          <w:sz w:val="24"/>
          <w:szCs w:val="24"/>
        </w:rPr>
      </w:pPr>
    </w:p>
    <w:p w14:paraId="457F0AA0" w14:textId="074B106C" w:rsidR="005E7667" w:rsidRDefault="002D2151" w:rsidP="00441B77">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begin with, the Court of Justice </w:t>
      </w:r>
      <w:r w:rsidR="00EB69E2">
        <w:rPr>
          <w:rFonts w:ascii="Times New Roman" w:eastAsia="Times New Roman" w:hAnsi="Times New Roman" w:cs="Times New Roman"/>
          <w:sz w:val="24"/>
          <w:szCs w:val="24"/>
        </w:rPr>
        <w:t xml:space="preserve">made an attempt to draw a line between Article 7 TEU proceedings and the EAW Framework Decision. </w:t>
      </w:r>
      <w:r w:rsidR="00AD26AF">
        <w:rPr>
          <w:rFonts w:ascii="Times New Roman" w:eastAsia="Times New Roman" w:hAnsi="Times New Roman" w:cs="Times New Roman"/>
          <w:sz w:val="24"/>
          <w:szCs w:val="24"/>
        </w:rPr>
        <w:t>A reminder is fitting that t</w:t>
      </w:r>
      <w:r w:rsidR="00EB69E2">
        <w:rPr>
          <w:rFonts w:ascii="Times New Roman" w:eastAsia="Times New Roman" w:hAnsi="Times New Roman" w:cs="Times New Roman"/>
          <w:sz w:val="24"/>
          <w:szCs w:val="24"/>
        </w:rPr>
        <w:t>he latter provides,</w:t>
      </w:r>
      <w:r w:rsidR="00311498">
        <w:rPr>
          <w:rFonts w:ascii="Times New Roman" w:eastAsia="Times New Roman" w:hAnsi="Times New Roman" w:cs="Times New Roman"/>
          <w:sz w:val="24"/>
          <w:szCs w:val="24"/>
        </w:rPr>
        <w:t xml:space="preserve"> albeit only in the preamble,</w:t>
      </w:r>
      <w:r w:rsidR="00EB69E2">
        <w:rPr>
          <w:rFonts w:ascii="Times New Roman" w:eastAsia="Times New Roman" w:hAnsi="Times New Roman" w:cs="Times New Roman"/>
          <w:sz w:val="24"/>
          <w:szCs w:val="24"/>
        </w:rPr>
        <w:t xml:space="preserve"> that the European Council </w:t>
      </w:r>
      <w:r w:rsidR="00317907">
        <w:rPr>
          <w:rFonts w:ascii="Times New Roman" w:eastAsia="Times New Roman" w:hAnsi="Times New Roman" w:cs="Times New Roman"/>
          <w:sz w:val="24"/>
          <w:szCs w:val="24"/>
        </w:rPr>
        <w:t xml:space="preserve">may </w:t>
      </w:r>
      <w:r w:rsidR="00AD26AF">
        <w:rPr>
          <w:rFonts w:ascii="Times New Roman" w:eastAsia="Times New Roman" w:hAnsi="Times New Roman" w:cs="Times New Roman"/>
          <w:sz w:val="24"/>
          <w:szCs w:val="24"/>
        </w:rPr>
        <w:t>suspend the application of the European Arrest</w:t>
      </w:r>
      <w:r w:rsidR="00506BAE">
        <w:rPr>
          <w:rFonts w:ascii="Times New Roman" w:eastAsia="Times New Roman" w:hAnsi="Times New Roman" w:cs="Times New Roman"/>
          <w:sz w:val="24"/>
          <w:szCs w:val="24"/>
        </w:rPr>
        <w:t xml:space="preserve"> Warrant machinery only in cases of serious and persistent breach of principles laid down in Article 6 (1) TEU. For that to happen, </w:t>
      </w:r>
      <w:r w:rsidR="00DC0DBF">
        <w:rPr>
          <w:rFonts w:ascii="Times New Roman" w:eastAsia="Times New Roman" w:hAnsi="Times New Roman" w:cs="Times New Roman"/>
          <w:sz w:val="24"/>
          <w:szCs w:val="24"/>
        </w:rPr>
        <w:t>a unanimous decision of the European Council is required as per Article 7(</w:t>
      </w:r>
      <w:r w:rsidR="00611371">
        <w:rPr>
          <w:rFonts w:ascii="Times New Roman" w:eastAsia="Times New Roman" w:hAnsi="Times New Roman" w:cs="Times New Roman"/>
          <w:sz w:val="24"/>
          <w:szCs w:val="24"/>
        </w:rPr>
        <w:t>2</w:t>
      </w:r>
      <w:r w:rsidR="00DC0DBF">
        <w:rPr>
          <w:rFonts w:ascii="Times New Roman" w:eastAsia="Times New Roman" w:hAnsi="Times New Roman" w:cs="Times New Roman"/>
          <w:sz w:val="24"/>
          <w:szCs w:val="24"/>
        </w:rPr>
        <w:t xml:space="preserve">) TEU. </w:t>
      </w:r>
      <w:r w:rsidR="00144F49">
        <w:rPr>
          <w:rFonts w:ascii="Times New Roman" w:eastAsia="Times New Roman" w:hAnsi="Times New Roman" w:cs="Times New Roman"/>
          <w:sz w:val="24"/>
          <w:szCs w:val="24"/>
        </w:rPr>
        <w:t xml:space="preserve">The Court of Justice clarified that in such event, the </w:t>
      </w:r>
      <w:r w:rsidR="005827EB">
        <w:rPr>
          <w:rFonts w:ascii="Times New Roman" w:eastAsia="Times New Roman" w:hAnsi="Times New Roman" w:cs="Times New Roman"/>
          <w:sz w:val="24"/>
          <w:szCs w:val="24"/>
        </w:rPr>
        <w:t xml:space="preserve">executing judicial authority would be required to automatically refuse the execution of a European Arrest Warrant. </w:t>
      </w:r>
      <w:r w:rsidR="006970CB">
        <w:rPr>
          <w:rFonts w:ascii="Times New Roman" w:eastAsia="Times New Roman" w:hAnsi="Times New Roman" w:cs="Times New Roman"/>
          <w:sz w:val="24"/>
          <w:szCs w:val="24"/>
        </w:rPr>
        <w:t xml:space="preserve">In the current political constellation this scenario is </w:t>
      </w:r>
      <w:r w:rsidR="00387B78">
        <w:rPr>
          <w:rFonts w:ascii="Times New Roman" w:eastAsia="Times New Roman" w:hAnsi="Times New Roman" w:cs="Times New Roman"/>
          <w:sz w:val="24"/>
          <w:szCs w:val="24"/>
        </w:rPr>
        <w:t xml:space="preserve">merely a theoretical proposition that is very unlikely to materialise. The political character of Article 7 TEU proceedings, combined with </w:t>
      </w:r>
      <w:r w:rsidR="00B50434">
        <w:rPr>
          <w:rFonts w:ascii="Times New Roman" w:eastAsia="Times New Roman" w:hAnsi="Times New Roman" w:cs="Times New Roman"/>
          <w:sz w:val="24"/>
          <w:szCs w:val="24"/>
        </w:rPr>
        <w:t>a dominant role prescribed to the Member States (acting either as the European Council or the Council)</w:t>
      </w:r>
      <w:r w:rsidR="005A570A">
        <w:rPr>
          <w:rFonts w:ascii="Times New Roman" w:eastAsia="Times New Roman" w:hAnsi="Times New Roman" w:cs="Times New Roman"/>
          <w:sz w:val="24"/>
          <w:szCs w:val="24"/>
        </w:rPr>
        <w:t xml:space="preserve"> and the unanimity requirement for the key decision as well as </w:t>
      </w:r>
      <w:r w:rsidR="00B50434">
        <w:rPr>
          <w:rFonts w:ascii="Times New Roman" w:eastAsia="Times New Roman" w:hAnsi="Times New Roman" w:cs="Times New Roman"/>
          <w:sz w:val="24"/>
          <w:szCs w:val="24"/>
        </w:rPr>
        <w:t xml:space="preserve">the fact that two allied Member States are currently subject to the procedure, </w:t>
      </w:r>
      <w:r w:rsidR="009453F1">
        <w:rPr>
          <w:rFonts w:ascii="Times New Roman" w:eastAsia="Times New Roman" w:hAnsi="Times New Roman" w:cs="Times New Roman"/>
          <w:sz w:val="24"/>
          <w:szCs w:val="24"/>
        </w:rPr>
        <w:t>makes any determination of serious and persistent breach of EU values</w:t>
      </w:r>
      <w:r w:rsidR="00E77892">
        <w:rPr>
          <w:rFonts w:ascii="Times New Roman" w:eastAsia="Times New Roman" w:hAnsi="Times New Roman" w:cs="Times New Roman"/>
          <w:sz w:val="24"/>
          <w:szCs w:val="24"/>
        </w:rPr>
        <w:t xml:space="preserve"> a</w:t>
      </w:r>
      <w:r w:rsidR="009453F1">
        <w:rPr>
          <w:rFonts w:ascii="Times New Roman" w:eastAsia="Times New Roman" w:hAnsi="Times New Roman" w:cs="Times New Roman"/>
          <w:sz w:val="24"/>
          <w:szCs w:val="24"/>
        </w:rPr>
        <w:t xml:space="preserve"> highly illusory</w:t>
      </w:r>
      <w:r w:rsidR="00E77892">
        <w:rPr>
          <w:rFonts w:ascii="Times New Roman" w:eastAsia="Times New Roman" w:hAnsi="Times New Roman" w:cs="Times New Roman"/>
          <w:sz w:val="24"/>
          <w:szCs w:val="24"/>
        </w:rPr>
        <w:t xml:space="preserve"> exercise</w:t>
      </w:r>
      <w:r w:rsidR="009453F1">
        <w:rPr>
          <w:rFonts w:ascii="Times New Roman" w:eastAsia="Times New Roman" w:hAnsi="Times New Roman" w:cs="Times New Roman"/>
          <w:sz w:val="24"/>
          <w:szCs w:val="24"/>
        </w:rPr>
        <w:t xml:space="preserve">. </w:t>
      </w:r>
      <w:r w:rsidR="00DD3121">
        <w:rPr>
          <w:rFonts w:ascii="Times New Roman" w:eastAsia="Times New Roman" w:hAnsi="Times New Roman" w:cs="Times New Roman"/>
          <w:sz w:val="24"/>
          <w:szCs w:val="24"/>
        </w:rPr>
        <w:t xml:space="preserve">This, in a nutshell, means that </w:t>
      </w:r>
      <w:r w:rsidR="00AB5A89">
        <w:rPr>
          <w:rFonts w:ascii="Times New Roman" w:eastAsia="Times New Roman" w:hAnsi="Times New Roman" w:cs="Times New Roman"/>
          <w:sz w:val="24"/>
          <w:szCs w:val="24"/>
        </w:rPr>
        <w:t xml:space="preserve">the suspension of the EAW mechanism </w:t>
      </w:r>
      <w:r w:rsidR="00AB5A89" w:rsidRPr="008755B4">
        <w:rPr>
          <w:rFonts w:ascii="Times New Roman" w:eastAsia="Times New Roman" w:hAnsi="Times New Roman" w:cs="Times New Roman"/>
          <w:i/>
          <w:sz w:val="24"/>
          <w:szCs w:val="24"/>
        </w:rPr>
        <w:t>vis-à-vis</w:t>
      </w:r>
      <w:r w:rsidR="00AB5A89">
        <w:rPr>
          <w:rFonts w:ascii="Times New Roman" w:eastAsia="Times New Roman" w:hAnsi="Times New Roman" w:cs="Times New Roman"/>
          <w:sz w:val="24"/>
          <w:szCs w:val="24"/>
        </w:rPr>
        <w:t xml:space="preserve"> Poland or Hungary </w:t>
      </w:r>
      <w:r w:rsidR="008755B4">
        <w:rPr>
          <w:rFonts w:ascii="Times New Roman" w:eastAsia="Times New Roman" w:hAnsi="Times New Roman" w:cs="Times New Roman"/>
          <w:sz w:val="24"/>
          <w:szCs w:val="24"/>
        </w:rPr>
        <w:t>is not on the card</w:t>
      </w:r>
      <w:r w:rsidR="00735C50">
        <w:rPr>
          <w:rFonts w:ascii="Times New Roman" w:eastAsia="Times New Roman" w:hAnsi="Times New Roman" w:cs="Times New Roman"/>
          <w:sz w:val="24"/>
          <w:szCs w:val="24"/>
        </w:rPr>
        <w:t>s</w:t>
      </w:r>
      <w:r w:rsidR="008755B4">
        <w:rPr>
          <w:rFonts w:ascii="Times New Roman" w:eastAsia="Times New Roman" w:hAnsi="Times New Roman" w:cs="Times New Roman"/>
          <w:sz w:val="24"/>
          <w:szCs w:val="24"/>
        </w:rPr>
        <w:t xml:space="preserve">. It does not, however, </w:t>
      </w:r>
      <w:r w:rsidR="00012B5D">
        <w:rPr>
          <w:rFonts w:ascii="Times New Roman" w:eastAsia="Times New Roman" w:hAnsi="Times New Roman" w:cs="Times New Roman"/>
          <w:sz w:val="24"/>
          <w:szCs w:val="24"/>
        </w:rPr>
        <w:t xml:space="preserve">change the fact that in course of EAW proceedings national courts </w:t>
      </w:r>
      <w:r w:rsidR="00332698">
        <w:rPr>
          <w:rFonts w:ascii="Times New Roman" w:eastAsia="Times New Roman" w:hAnsi="Times New Roman" w:cs="Times New Roman"/>
          <w:sz w:val="24"/>
          <w:szCs w:val="24"/>
        </w:rPr>
        <w:t xml:space="preserve">face the dilemmas similar to those expressed by the referring court in case </w:t>
      </w:r>
      <w:r w:rsidR="00332698" w:rsidRPr="00332698">
        <w:rPr>
          <w:rFonts w:ascii="Times New Roman" w:eastAsia="Times New Roman" w:hAnsi="Times New Roman" w:cs="Times New Roman"/>
          <w:sz w:val="24"/>
          <w:szCs w:val="24"/>
        </w:rPr>
        <w:t xml:space="preserve">C-216/18PPPU </w:t>
      </w:r>
      <w:r w:rsidR="00332698" w:rsidRPr="00332698">
        <w:rPr>
          <w:rFonts w:ascii="Times New Roman" w:eastAsia="Times New Roman" w:hAnsi="Times New Roman" w:cs="Times New Roman"/>
          <w:i/>
          <w:sz w:val="24"/>
          <w:szCs w:val="24"/>
        </w:rPr>
        <w:t>LM</w:t>
      </w:r>
      <w:r w:rsidR="00332698">
        <w:rPr>
          <w:rFonts w:ascii="Times New Roman" w:eastAsia="Times New Roman" w:hAnsi="Times New Roman" w:cs="Times New Roman"/>
          <w:sz w:val="24"/>
          <w:szCs w:val="24"/>
        </w:rPr>
        <w:t xml:space="preserve">. </w:t>
      </w:r>
      <w:r w:rsidR="00551D20">
        <w:rPr>
          <w:rFonts w:ascii="Times New Roman" w:eastAsia="Times New Roman" w:hAnsi="Times New Roman" w:cs="Times New Roman"/>
          <w:sz w:val="24"/>
          <w:szCs w:val="24"/>
        </w:rPr>
        <w:t xml:space="preserve">In this respect the Court of Justice has offered a solution along the lines of the </w:t>
      </w:r>
      <w:proofErr w:type="spellStart"/>
      <w:r w:rsidR="00551D20" w:rsidRPr="00551D20">
        <w:rPr>
          <w:rFonts w:ascii="Times New Roman" w:eastAsia="Times New Roman" w:hAnsi="Times New Roman" w:cs="Times New Roman"/>
          <w:i/>
          <w:sz w:val="24"/>
          <w:szCs w:val="24"/>
        </w:rPr>
        <w:t>Aranyosi</w:t>
      </w:r>
      <w:proofErr w:type="spellEnd"/>
      <w:r w:rsidR="00551D20" w:rsidRPr="00551D20">
        <w:rPr>
          <w:rFonts w:ascii="Times New Roman" w:eastAsia="Times New Roman" w:hAnsi="Times New Roman" w:cs="Times New Roman"/>
          <w:i/>
          <w:sz w:val="24"/>
          <w:szCs w:val="24"/>
        </w:rPr>
        <w:t xml:space="preserve"> and </w:t>
      </w:r>
      <w:proofErr w:type="spellStart"/>
      <w:r w:rsidR="00551D20" w:rsidRPr="00551D20">
        <w:rPr>
          <w:rFonts w:ascii="Times New Roman" w:eastAsia="Times New Roman" w:hAnsi="Times New Roman" w:cs="Times New Roman"/>
          <w:i/>
          <w:sz w:val="24"/>
          <w:szCs w:val="24"/>
        </w:rPr>
        <w:t>Căldăraru</w:t>
      </w:r>
      <w:proofErr w:type="spellEnd"/>
      <w:r w:rsidR="00551D20">
        <w:rPr>
          <w:rFonts w:ascii="Times New Roman" w:eastAsia="Times New Roman" w:hAnsi="Times New Roman" w:cs="Times New Roman"/>
          <w:sz w:val="24"/>
          <w:szCs w:val="24"/>
        </w:rPr>
        <w:t xml:space="preserve"> ruling.</w:t>
      </w:r>
    </w:p>
    <w:p w14:paraId="7E2A4ADE" w14:textId="47FA90C9" w:rsidR="000D409E" w:rsidRDefault="000D409E">
      <w:pPr>
        <w:pStyle w:val="Default"/>
        <w:rPr>
          <w:rFonts w:ascii="Times New Roman" w:eastAsia="Times New Roman" w:hAnsi="Times New Roman" w:cs="Times New Roman"/>
          <w:sz w:val="24"/>
          <w:szCs w:val="24"/>
        </w:rPr>
      </w:pPr>
    </w:p>
    <w:p w14:paraId="72914389" w14:textId="7FB08FB4" w:rsidR="00551D20" w:rsidRDefault="00551D20" w:rsidP="00710F1A">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begin with, the Court of Justice made it clear that until </w:t>
      </w:r>
      <w:r w:rsidR="00970F84">
        <w:rPr>
          <w:rFonts w:ascii="Times New Roman" w:eastAsia="Times New Roman" w:hAnsi="Times New Roman" w:cs="Times New Roman"/>
          <w:sz w:val="24"/>
          <w:szCs w:val="24"/>
        </w:rPr>
        <w:t xml:space="preserve">the European Council freezes the EAW mechanism in relation to a particular Member State, the national executing authorities may </w:t>
      </w:r>
      <w:r w:rsidR="00710F1A">
        <w:rPr>
          <w:rFonts w:ascii="Times New Roman" w:eastAsia="Times New Roman" w:hAnsi="Times New Roman" w:cs="Times New Roman"/>
          <w:sz w:val="24"/>
          <w:szCs w:val="24"/>
        </w:rPr>
        <w:t>refuse to give effect to European Arrest Warrants in exceptional circumstances after a thorough individual assessment if in a particular case the person surrendered could be exposed to unfair trail</w:t>
      </w:r>
      <w:r w:rsidR="00A21D1F">
        <w:rPr>
          <w:rFonts w:ascii="Times New Roman" w:eastAsia="Times New Roman" w:hAnsi="Times New Roman" w:cs="Times New Roman"/>
          <w:sz w:val="24"/>
          <w:szCs w:val="24"/>
        </w:rPr>
        <w:t>,</w:t>
      </w:r>
      <w:r w:rsidR="00710F1A">
        <w:rPr>
          <w:rFonts w:ascii="Times New Roman" w:eastAsia="Times New Roman" w:hAnsi="Times New Roman" w:cs="Times New Roman"/>
          <w:sz w:val="24"/>
          <w:szCs w:val="24"/>
        </w:rPr>
        <w:t xml:space="preserve"> resulting from lack of independence of the</w:t>
      </w:r>
      <w:r w:rsidR="00A21D1F">
        <w:rPr>
          <w:rFonts w:ascii="Times New Roman" w:eastAsia="Times New Roman" w:hAnsi="Times New Roman" w:cs="Times New Roman"/>
          <w:sz w:val="24"/>
          <w:szCs w:val="24"/>
        </w:rPr>
        <w:t xml:space="preserve"> domestic court. </w:t>
      </w:r>
      <w:r w:rsidR="00D14728">
        <w:rPr>
          <w:rFonts w:ascii="Times New Roman" w:eastAsia="Times New Roman" w:hAnsi="Times New Roman" w:cs="Times New Roman"/>
          <w:sz w:val="24"/>
          <w:szCs w:val="24"/>
        </w:rPr>
        <w:t xml:space="preserve">The Court of Justice </w:t>
      </w:r>
      <w:r w:rsidR="00797926">
        <w:rPr>
          <w:rFonts w:ascii="Times New Roman" w:eastAsia="Times New Roman" w:hAnsi="Times New Roman" w:cs="Times New Roman"/>
          <w:sz w:val="24"/>
          <w:szCs w:val="24"/>
        </w:rPr>
        <w:t xml:space="preserve">has ruled that such a decision may be made on the basis of Article 1(3) of EAW Framework Decision. This, as compared to </w:t>
      </w:r>
      <w:proofErr w:type="spellStart"/>
      <w:r w:rsidR="00797926" w:rsidRPr="00797926">
        <w:rPr>
          <w:rFonts w:ascii="Times New Roman" w:eastAsia="Times New Roman" w:hAnsi="Times New Roman" w:cs="Times New Roman"/>
          <w:i/>
          <w:sz w:val="24"/>
          <w:szCs w:val="24"/>
        </w:rPr>
        <w:t>Aranyosi</w:t>
      </w:r>
      <w:proofErr w:type="spellEnd"/>
      <w:r w:rsidR="00797926" w:rsidRPr="00797926">
        <w:rPr>
          <w:rFonts w:ascii="Times New Roman" w:eastAsia="Times New Roman" w:hAnsi="Times New Roman" w:cs="Times New Roman"/>
          <w:i/>
          <w:sz w:val="24"/>
          <w:szCs w:val="24"/>
        </w:rPr>
        <w:t xml:space="preserve"> and </w:t>
      </w:r>
      <w:proofErr w:type="spellStart"/>
      <w:r w:rsidR="00797926" w:rsidRPr="00797926">
        <w:rPr>
          <w:rFonts w:ascii="Times New Roman" w:eastAsia="Times New Roman" w:hAnsi="Times New Roman" w:cs="Times New Roman"/>
          <w:i/>
          <w:sz w:val="24"/>
          <w:szCs w:val="24"/>
        </w:rPr>
        <w:t>Căldăraru</w:t>
      </w:r>
      <w:proofErr w:type="spellEnd"/>
      <w:r w:rsidR="00797926" w:rsidRPr="00797926">
        <w:rPr>
          <w:rFonts w:ascii="Times New Roman" w:eastAsia="Times New Roman" w:hAnsi="Times New Roman" w:cs="Times New Roman"/>
          <w:sz w:val="24"/>
          <w:szCs w:val="24"/>
        </w:rPr>
        <w:t xml:space="preserve"> ruling</w:t>
      </w:r>
      <w:r w:rsidR="00157078">
        <w:rPr>
          <w:rFonts w:ascii="Times New Roman" w:eastAsia="Times New Roman" w:hAnsi="Times New Roman" w:cs="Times New Roman"/>
          <w:sz w:val="24"/>
          <w:szCs w:val="24"/>
        </w:rPr>
        <w:t xml:space="preserve"> and its constructive ambiguity discussed above, is a welcome clarification. Once again it shows an inventive side of the Court of Justice </w:t>
      </w:r>
      <w:r w:rsidR="001914AB">
        <w:rPr>
          <w:rFonts w:ascii="Times New Roman" w:eastAsia="Times New Roman" w:hAnsi="Times New Roman" w:cs="Times New Roman"/>
          <w:sz w:val="24"/>
          <w:szCs w:val="24"/>
        </w:rPr>
        <w:t>and the way in which it interprets EU law. It is notable</w:t>
      </w:r>
      <w:r w:rsidR="00363C0E">
        <w:rPr>
          <w:rFonts w:ascii="Times New Roman" w:eastAsia="Times New Roman" w:hAnsi="Times New Roman" w:cs="Times New Roman"/>
          <w:sz w:val="24"/>
          <w:szCs w:val="24"/>
        </w:rPr>
        <w:t>, however,</w:t>
      </w:r>
      <w:r w:rsidR="001914AB">
        <w:rPr>
          <w:rFonts w:ascii="Times New Roman" w:eastAsia="Times New Roman" w:hAnsi="Times New Roman" w:cs="Times New Roman"/>
          <w:sz w:val="24"/>
          <w:szCs w:val="24"/>
        </w:rPr>
        <w:t xml:space="preserve"> that the judges at </w:t>
      </w:r>
      <w:proofErr w:type="spellStart"/>
      <w:r w:rsidR="001914AB">
        <w:rPr>
          <w:rFonts w:ascii="Times New Roman" w:eastAsia="Times New Roman" w:hAnsi="Times New Roman" w:cs="Times New Roman"/>
          <w:sz w:val="24"/>
          <w:szCs w:val="24"/>
        </w:rPr>
        <w:t>Kirchberg</w:t>
      </w:r>
      <w:proofErr w:type="spellEnd"/>
      <w:r w:rsidR="001914AB">
        <w:rPr>
          <w:rFonts w:ascii="Times New Roman" w:eastAsia="Times New Roman" w:hAnsi="Times New Roman" w:cs="Times New Roman"/>
          <w:sz w:val="24"/>
          <w:szCs w:val="24"/>
        </w:rPr>
        <w:t xml:space="preserve"> again opted for </w:t>
      </w:r>
      <w:r w:rsidR="00DA626E">
        <w:rPr>
          <w:rFonts w:ascii="Times New Roman" w:eastAsia="Times New Roman" w:hAnsi="Times New Roman" w:cs="Times New Roman"/>
          <w:sz w:val="24"/>
          <w:szCs w:val="24"/>
        </w:rPr>
        <w:t>phraseology departing from the language of the EAW Framework Decision. As the Court of Justice put it, the executing authority “may refrain […] to give effect to a European arrest warrant”.</w:t>
      </w:r>
      <w:r w:rsidR="00DA626E">
        <w:rPr>
          <w:rStyle w:val="FootnoteReference"/>
          <w:rFonts w:ascii="Times New Roman" w:eastAsia="Times New Roman" w:hAnsi="Times New Roman" w:cs="Times New Roman"/>
          <w:sz w:val="24"/>
          <w:szCs w:val="24"/>
        </w:rPr>
        <w:footnoteReference w:id="70"/>
      </w:r>
      <w:r w:rsidR="008A61CD">
        <w:rPr>
          <w:rFonts w:ascii="Times New Roman" w:eastAsia="Times New Roman" w:hAnsi="Times New Roman" w:cs="Times New Roman"/>
          <w:sz w:val="24"/>
          <w:szCs w:val="24"/>
        </w:rPr>
        <w:t xml:space="preserve"> </w:t>
      </w:r>
      <w:r w:rsidR="00A77C8B">
        <w:rPr>
          <w:rFonts w:ascii="Times New Roman" w:eastAsia="Times New Roman" w:hAnsi="Times New Roman" w:cs="Times New Roman"/>
          <w:sz w:val="24"/>
          <w:szCs w:val="24"/>
        </w:rPr>
        <w:t xml:space="preserve">In practical terms there is, if any, very little difference between </w:t>
      </w:r>
      <w:r w:rsidR="000B5F9A">
        <w:rPr>
          <w:rFonts w:ascii="Times New Roman" w:eastAsia="Times New Roman" w:hAnsi="Times New Roman" w:cs="Times New Roman"/>
          <w:sz w:val="24"/>
          <w:szCs w:val="24"/>
        </w:rPr>
        <w:t>“</w:t>
      </w:r>
      <w:r w:rsidR="00394EDF">
        <w:rPr>
          <w:rFonts w:ascii="Times New Roman" w:eastAsia="Times New Roman" w:hAnsi="Times New Roman" w:cs="Times New Roman"/>
          <w:sz w:val="24"/>
          <w:szCs w:val="24"/>
        </w:rPr>
        <w:t>refraining</w:t>
      </w:r>
      <w:r w:rsidR="000B5F9A">
        <w:rPr>
          <w:rFonts w:ascii="Times New Roman" w:eastAsia="Times New Roman" w:hAnsi="Times New Roman" w:cs="Times New Roman"/>
          <w:sz w:val="24"/>
          <w:szCs w:val="24"/>
        </w:rPr>
        <w:t>”</w:t>
      </w:r>
      <w:r w:rsidR="00394EDF">
        <w:rPr>
          <w:rFonts w:ascii="Times New Roman" w:eastAsia="Times New Roman" w:hAnsi="Times New Roman" w:cs="Times New Roman"/>
          <w:sz w:val="24"/>
          <w:szCs w:val="24"/>
        </w:rPr>
        <w:t xml:space="preserve"> and </w:t>
      </w:r>
      <w:r w:rsidR="000B5F9A">
        <w:rPr>
          <w:rFonts w:ascii="Times New Roman" w:eastAsia="Times New Roman" w:hAnsi="Times New Roman" w:cs="Times New Roman"/>
          <w:sz w:val="24"/>
          <w:szCs w:val="24"/>
        </w:rPr>
        <w:t>“</w:t>
      </w:r>
      <w:r w:rsidR="00394EDF">
        <w:rPr>
          <w:rFonts w:ascii="Times New Roman" w:eastAsia="Times New Roman" w:hAnsi="Times New Roman" w:cs="Times New Roman"/>
          <w:sz w:val="24"/>
          <w:szCs w:val="24"/>
        </w:rPr>
        <w:t>non-executing</w:t>
      </w:r>
      <w:r w:rsidR="000B5F9A">
        <w:rPr>
          <w:rFonts w:ascii="Times New Roman" w:eastAsia="Times New Roman" w:hAnsi="Times New Roman" w:cs="Times New Roman"/>
          <w:sz w:val="24"/>
          <w:szCs w:val="24"/>
        </w:rPr>
        <w:t>”</w:t>
      </w:r>
      <w:r w:rsidR="00394EDF">
        <w:rPr>
          <w:rFonts w:ascii="Times New Roman" w:eastAsia="Times New Roman" w:hAnsi="Times New Roman" w:cs="Times New Roman"/>
          <w:sz w:val="24"/>
          <w:szCs w:val="24"/>
        </w:rPr>
        <w:t xml:space="preserve"> a request for surrender. </w:t>
      </w:r>
      <w:r w:rsidR="000B5F9A">
        <w:rPr>
          <w:rFonts w:ascii="Times New Roman" w:eastAsia="Times New Roman" w:hAnsi="Times New Roman" w:cs="Times New Roman"/>
          <w:sz w:val="24"/>
          <w:szCs w:val="24"/>
        </w:rPr>
        <w:t xml:space="preserve">It seems now confirmed that the Court of Justice has opted to turn Article 1(3) of EAW Framework Decision into an additional ground for refusal to surrender. </w:t>
      </w:r>
      <w:r w:rsidR="00D72D0E">
        <w:rPr>
          <w:rFonts w:ascii="Times New Roman" w:eastAsia="Times New Roman" w:hAnsi="Times New Roman" w:cs="Times New Roman"/>
          <w:sz w:val="24"/>
          <w:szCs w:val="24"/>
        </w:rPr>
        <w:t xml:space="preserve">The picture emerging from the judgment in question is that </w:t>
      </w:r>
      <w:r w:rsidR="00394EDF">
        <w:rPr>
          <w:rFonts w:ascii="Times New Roman" w:eastAsia="Times New Roman" w:hAnsi="Times New Roman" w:cs="Times New Roman"/>
          <w:sz w:val="24"/>
          <w:szCs w:val="24"/>
        </w:rPr>
        <w:t xml:space="preserve">such a decision should be neither automatic nor taken lightly. Hence, the </w:t>
      </w:r>
      <w:r w:rsidR="00AE6827">
        <w:rPr>
          <w:rFonts w:ascii="Times New Roman" w:eastAsia="Times New Roman" w:hAnsi="Times New Roman" w:cs="Times New Roman"/>
          <w:sz w:val="24"/>
          <w:szCs w:val="24"/>
        </w:rPr>
        <w:t xml:space="preserve">bulk of the Court’s reply to the Irish High Court comprises a detailed account </w:t>
      </w:r>
      <w:r w:rsidR="005C38A9">
        <w:rPr>
          <w:rFonts w:ascii="Times New Roman" w:eastAsia="Times New Roman" w:hAnsi="Times New Roman" w:cs="Times New Roman"/>
          <w:sz w:val="24"/>
          <w:szCs w:val="24"/>
        </w:rPr>
        <w:t>of what amounts to judicial independence and what factors should be taken into account</w:t>
      </w:r>
      <w:r w:rsidR="00AE6827">
        <w:rPr>
          <w:rFonts w:ascii="Times New Roman" w:eastAsia="Times New Roman" w:hAnsi="Times New Roman" w:cs="Times New Roman"/>
          <w:sz w:val="24"/>
          <w:szCs w:val="24"/>
        </w:rPr>
        <w:t xml:space="preserve"> by national courts</w:t>
      </w:r>
      <w:r w:rsidR="005C38A9">
        <w:rPr>
          <w:rFonts w:ascii="Times New Roman" w:eastAsia="Times New Roman" w:hAnsi="Times New Roman" w:cs="Times New Roman"/>
          <w:sz w:val="24"/>
          <w:szCs w:val="24"/>
        </w:rPr>
        <w:t xml:space="preserve"> when applying the </w:t>
      </w:r>
      <w:proofErr w:type="spellStart"/>
      <w:r w:rsidR="005C38A9" w:rsidRPr="00797926">
        <w:rPr>
          <w:rFonts w:ascii="Times New Roman" w:eastAsia="Times New Roman" w:hAnsi="Times New Roman" w:cs="Times New Roman"/>
          <w:i/>
          <w:sz w:val="24"/>
          <w:szCs w:val="24"/>
        </w:rPr>
        <w:t>Aranyosi</w:t>
      </w:r>
      <w:proofErr w:type="spellEnd"/>
      <w:r w:rsidR="005C38A9" w:rsidRPr="00797926">
        <w:rPr>
          <w:rFonts w:ascii="Times New Roman" w:eastAsia="Times New Roman" w:hAnsi="Times New Roman" w:cs="Times New Roman"/>
          <w:i/>
          <w:sz w:val="24"/>
          <w:szCs w:val="24"/>
        </w:rPr>
        <w:t xml:space="preserve"> and </w:t>
      </w:r>
      <w:proofErr w:type="spellStart"/>
      <w:r w:rsidR="005C38A9" w:rsidRPr="00797926">
        <w:rPr>
          <w:rFonts w:ascii="Times New Roman" w:eastAsia="Times New Roman" w:hAnsi="Times New Roman" w:cs="Times New Roman"/>
          <w:i/>
          <w:sz w:val="24"/>
          <w:szCs w:val="24"/>
        </w:rPr>
        <w:t>Căldăraru</w:t>
      </w:r>
      <w:proofErr w:type="spellEnd"/>
      <w:r w:rsidR="005C38A9">
        <w:rPr>
          <w:rFonts w:ascii="Times New Roman" w:eastAsia="Times New Roman" w:hAnsi="Times New Roman" w:cs="Times New Roman"/>
          <w:i/>
          <w:sz w:val="24"/>
          <w:szCs w:val="24"/>
        </w:rPr>
        <w:t xml:space="preserve"> </w:t>
      </w:r>
      <w:r w:rsidR="005C38A9">
        <w:rPr>
          <w:rFonts w:ascii="Times New Roman" w:eastAsia="Times New Roman" w:hAnsi="Times New Roman" w:cs="Times New Roman"/>
          <w:sz w:val="24"/>
          <w:szCs w:val="24"/>
        </w:rPr>
        <w:t>test</w:t>
      </w:r>
      <w:r w:rsidR="00AE6827">
        <w:rPr>
          <w:rFonts w:ascii="Times New Roman" w:eastAsia="Times New Roman" w:hAnsi="Times New Roman" w:cs="Times New Roman"/>
          <w:sz w:val="24"/>
          <w:szCs w:val="24"/>
        </w:rPr>
        <w:t xml:space="preserve">. </w:t>
      </w:r>
    </w:p>
    <w:p w14:paraId="05FE46A9" w14:textId="1605AB5D" w:rsidR="00551D20" w:rsidRDefault="00551D20">
      <w:pPr>
        <w:pStyle w:val="Default"/>
        <w:rPr>
          <w:rFonts w:ascii="Times New Roman" w:eastAsia="Times New Roman" w:hAnsi="Times New Roman" w:cs="Times New Roman"/>
          <w:sz w:val="24"/>
          <w:szCs w:val="24"/>
        </w:rPr>
      </w:pPr>
    </w:p>
    <w:p w14:paraId="728BDAD6" w14:textId="274D429B" w:rsidR="00BD487D" w:rsidRDefault="00F108F7" w:rsidP="00CA2A7C">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central elements in</w:t>
      </w:r>
      <w:r w:rsidR="00886644">
        <w:rPr>
          <w:rFonts w:ascii="Times New Roman" w:eastAsia="Times New Roman" w:hAnsi="Times New Roman" w:cs="Times New Roman"/>
          <w:sz w:val="24"/>
          <w:szCs w:val="24"/>
        </w:rPr>
        <w:t xml:space="preserve"> the </w:t>
      </w:r>
      <w:r w:rsidR="00CA1524">
        <w:rPr>
          <w:rFonts w:ascii="Times New Roman" w:eastAsia="Times New Roman" w:hAnsi="Times New Roman" w:cs="Times New Roman"/>
          <w:sz w:val="24"/>
          <w:szCs w:val="24"/>
        </w:rPr>
        <w:t xml:space="preserve">Courts’ reasoning. Firstly, the Court of Justice found it fitting to elaborate </w:t>
      </w:r>
      <w:r w:rsidR="00CA1524" w:rsidRPr="004840BF">
        <w:rPr>
          <w:rFonts w:ascii="Times New Roman" w:eastAsia="Times New Roman" w:hAnsi="Times New Roman" w:cs="Times New Roman"/>
          <w:i/>
          <w:sz w:val="24"/>
          <w:szCs w:val="24"/>
        </w:rPr>
        <w:t>in extenso</w:t>
      </w:r>
      <w:r w:rsidR="00CA1524">
        <w:rPr>
          <w:rFonts w:ascii="Times New Roman" w:eastAsia="Times New Roman" w:hAnsi="Times New Roman" w:cs="Times New Roman"/>
          <w:sz w:val="24"/>
          <w:szCs w:val="24"/>
        </w:rPr>
        <w:t xml:space="preserve"> on the importance of rule of law and, in more general terms, the meaning and the scope of Articles 2 and 19 TEU. Secondly, </w:t>
      </w:r>
      <w:r w:rsidR="004840BF">
        <w:rPr>
          <w:rFonts w:ascii="Times New Roman" w:eastAsia="Times New Roman" w:hAnsi="Times New Roman" w:cs="Times New Roman"/>
          <w:sz w:val="24"/>
          <w:szCs w:val="24"/>
        </w:rPr>
        <w:t xml:space="preserve">the judges at </w:t>
      </w:r>
      <w:proofErr w:type="spellStart"/>
      <w:r w:rsidR="004840BF">
        <w:rPr>
          <w:rFonts w:ascii="Times New Roman" w:eastAsia="Times New Roman" w:hAnsi="Times New Roman" w:cs="Times New Roman"/>
          <w:sz w:val="24"/>
          <w:szCs w:val="24"/>
        </w:rPr>
        <w:t>Kirchberg</w:t>
      </w:r>
      <w:proofErr w:type="spellEnd"/>
      <w:r w:rsidR="00A36BCA">
        <w:rPr>
          <w:rFonts w:ascii="Times New Roman" w:eastAsia="Times New Roman" w:hAnsi="Times New Roman" w:cs="Times New Roman"/>
          <w:sz w:val="24"/>
          <w:szCs w:val="24"/>
        </w:rPr>
        <w:t xml:space="preserve"> have </w:t>
      </w:r>
      <w:r w:rsidR="00927ADF">
        <w:rPr>
          <w:rFonts w:ascii="Times New Roman" w:eastAsia="Times New Roman" w:hAnsi="Times New Roman" w:cs="Times New Roman"/>
          <w:sz w:val="24"/>
          <w:szCs w:val="24"/>
        </w:rPr>
        <w:t xml:space="preserve">addressed the impact of rule of law breaches on the European Arrest Warrant mechanism. It is not surprising that the Court of Justice has </w:t>
      </w:r>
      <w:r w:rsidR="002830E8">
        <w:rPr>
          <w:rFonts w:ascii="Times New Roman" w:eastAsia="Times New Roman" w:hAnsi="Times New Roman" w:cs="Times New Roman"/>
          <w:sz w:val="24"/>
          <w:szCs w:val="24"/>
        </w:rPr>
        <w:t xml:space="preserve">put </w:t>
      </w:r>
      <w:r w:rsidR="00216F31">
        <w:rPr>
          <w:rFonts w:ascii="Times New Roman" w:eastAsia="Times New Roman" w:hAnsi="Times New Roman" w:cs="Times New Roman"/>
          <w:sz w:val="24"/>
          <w:szCs w:val="24"/>
        </w:rPr>
        <w:t xml:space="preserve">so much emphasis on the rule of law matters. In many respects the judges operate in a legal lacuna and </w:t>
      </w:r>
      <w:r w:rsidR="00803FF0">
        <w:rPr>
          <w:rFonts w:ascii="Times New Roman" w:eastAsia="Times New Roman" w:hAnsi="Times New Roman" w:cs="Times New Roman"/>
          <w:sz w:val="24"/>
          <w:szCs w:val="24"/>
        </w:rPr>
        <w:t xml:space="preserve">face competence dilemmas. On the one hand, </w:t>
      </w:r>
      <w:r w:rsidR="00F07E11">
        <w:rPr>
          <w:rFonts w:ascii="Times New Roman" w:eastAsia="Times New Roman" w:hAnsi="Times New Roman" w:cs="Times New Roman"/>
          <w:sz w:val="24"/>
          <w:szCs w:val="24"/>
        </w:rPr>
        <w:t xml:space="preserve">respect for EU values is a pre-condition for EU membership and it is at the heart of EU integration. On the other hand, the EU operates under the principle of conferral, which </w:t>
      </w:r>
      <w:r w:rsidR="007F2B82">
        <w:rPr>
          <w:rFonts w:ascii="Times New Roman" w:eastAsia="Times New Roman" w:hAnsi="Times New Roman" w:cs="Times New Roman"/>
          <w:sz w:val="24"/>
          <w:szCs w:val="24"/>
        </w:rPr>
        <w:t>– in general terms – precludes interventions into areas not falling within its competences.</w:t>
      </w:r>
      <w:r w:rsidR="00BF0D8D">
        <w:rPr>
          <w:rStyle w:val="FootnoteReference"/>
          <w:rFonts w:ascii="Times New Roman" w:eastAsia="Times New Roman" w:hAnsi="Times New Roman" w:cs="Times New Roman"/>
          <w:sz w:val="24"/>
          <w:szCs w:val="24"/>
        </w:rPr>
        <w:footnoteReference w:id="71"/>
      </w:r>
      <w:r w:rsidR="007F2B82">
        <w:rPr>
          <w:rFonts w:ascii="Times New Roman" w:eastAsia="Times New Roman" w:hAnsi="Times New Roman" w:cs="Times New Roman"/>
          <w:sz w:val="24"/>
          <w:szCs w:val="24"/>
        </w:rPr>
        <w:t xml:space="preserve"> </w:t>
      </w:r>
      <w:r w:rsidR="007B783C">
        <w:rPr>
          <w:rFonts w:ascii="Times New Roman" w:eastAsia="Times New Roman" w:hAnsi="Times New Roman" w:cs="Times New Roman"/>
          <w:sz w:val="24"/>
          <w:szCs w:val="24"/>
        </w:rPr>
        <w:t xml:space="preserve">One of the problems currently faced by the EU and its institutions is that the very generous wording of Article 2 TEU is not matched by extensive competences in rule of law matters. </w:t>
      </w:r>
      <w:r w:rsidR="00DA4801">
        <w:rPr>
          <w:rFonts w:ascii="Times New Roman" w:eastAsia="Times New Roman" w:hAnsi="Times New Roman" w:cs="Times New Roman"/>
          <w:sz w:val="24"/>
          <w:szCs w:val="24"/>
        </w:rPr>
        <w:t xml:space="preserve">Nevertheless, it is rather obvious that </w:t>
      </w:r>
      <w:r w:rsidR="007E6785">
        <w:rPr>
          <w:rFonts w:ascii="Times New Roman" w:eastAsia="Times New Roman" w:hAnsi="Times New Roman" w:cs="Times New Roman"/>
          <w:sz w:val="24"/>
          <w:szCs w:val="24"/>
        </w:rPr>
        <w:t xml:space="preserve">respect for rule of law and existence of independent national judiciaries are </w:t>
      </w:r>
      <w:proofErr w:type="spellStart"/>
      <w:r w:rsidR="007E6785" w:rsidRPr="007E6785">
        <w:rPr>
          <w:rFonts w:ascii="Times New Roman" w:eastAsia="Times New Roman" w:hAnsi="Times New Roman" w:cs="Times New Roman"/>
          <w:i/>
          <w:sz w:val="24"/>
          <w:szCs w:val="24"/>
        </w:rPr>
        <w:t>conditiones</w:t>
      </w:r>
      <w:proofErr w:type="spellEnd"/>
      <w:r w:rsidR="007E6785" w:rsidRPr="007E6785">
        <w:rPr>
          <w:rFonts w:ascii="Times New Roman" w:eastAsia="Times New Roman" w:hAnsi="Times New Roman" w:cs="Times New Roman"/>
          <w:i/>
          <w:sz w:val="24"/>
          <w:szCs w:val="24"/>
        </w:rPr>
        <w:t xml:space="preserve"> sine qua non</w:t>
      </w:r>
      <w:r w:rsidR="007E6785">
        <w:rPr>
          <w:rFonts w:ascii="Times New Roman" w:eastAsia="Times New Roman" w:hAnsi="Times New Roman" w:cs="Times New Roman"/>
          <w:sz w:val="24"/>
          <w:szCs w:val="24"/>
        </w:rPr>
        <w:t xml:space="preserve"> </w:t>
      </w:r>
      <w:r w:rsidR="006F1B4D">
        <w:rPr>
          <w:rFonts w:ascii="Times New Roman" w:eastAsia="Times New Roman" w:hAnsi="Times New Roman" w:cs="Times New Roman"/>
          <w:sz w:val="24"/>
          <w:szCs w:val="24"/>
        </w:rPr>
        <w:t xml:space="preserve">for application as well as effectiveness of EU law. </w:t>
      </w:r>
      <w:r w:rsidR="00D3262C">
        <w:rPr>
          <w:rFonts w:ascii="Times New Roman" w:eastAsia="Times New Roman" w:hAnsi="Times New Roman" w:cs="Times New Roman"/>
          <w:sz w:val="24"/>
          <w:szCs w:val="24"/>
        </w:rPr>
        <w:t>This link has been extensively dealt with by the Court of Justice in Case C-64/16</w:t>
      </w:r>
      <w:r w:rsidR="005316FF">
        <w:rPr>
          <w:rFonts w:ascii="Times New Roman" w:eastAsia="Times New Roman" w:hAnsi="Times New Roman" w:cs="Times New Roman"/>
          <w:sz w:val="24"/>
          <w:szCs w:val="24"/>
        </w:rPr>
        <w:t xml:space="preserve"> </w:t>
      </w:r>
      <w:proofErr w:type="spellStart"/>
      <w:r w:rsidR="00954573" w:rsidRPr="00954573">
        <w:rPr>
          <w:rFonts w:ascii="Times New Roman" w:eastAsia="Times New Roman" w:hAnsi="Times New Roman" w:cs="Times New Roman"/>
          <w:i/>
          <w:sz w:val="24"/>
          <w:szCs w:val="24"/>
        </w:rPr>
        <w:t>Associação</w:t>
      </w:r>
      <w:proofErr w:type="spellEnd"/>
      <w:r w:rsidR="00954573" w:rsidRPr="00954573">
        <w:rPr>
          <w:rFonts w:ascii="Times New Roman" w:eastAsia="Times New Roman" w:hAnsi="Times New Roman" w:cs="Times New Roman"/>
          <w:i/>
          <w:sz w:val="24"/>
          <w:szCs w:val="24"/>
        </w:rPr>
        <w:t xml:space="preserve"> </w:t>
      </w:r>
      <w:proofErr w:type="spellStart"/>
      <w:r w:rsidR="00954573" w:rsidRPr="00954573">
        <w:rPr>
          <w:rFonts w:ascii="Times New Roman" w:eastAsia="Times New Roman" w:hAnsi="Times New Roman" w:cs="Times New Roman"/>
          <w:i/>
          <w:sz w:val="24"/>
          <w:szCs w:val="24"/>
        </w:rPr>
        <w:t>Sindical</w:t>
      </w:r>
      <w:proofErr w:type="spellEnd"/>
      <w:r w:rsidR="00954573" w:rsidRPr="00954573">
        <w:rPr>
          <w:rFonts w:ascii="Times New Roman" w:eastAsia="Times New Roman" w:hAnsi="Times New Roman" w:cs="Times New Roman"/>
          <w:i/>
          <w:sz w:val="24"/>
          <w:szCs w:val="24"/>
        </w:rPr>
        <w:t xml:space="preserve"> dos </w:t>
      </w:r>
      <w:proofErr w:type="spellStart"/>
      <w:r w:rsidR="00954573" w:rsidRPr="00954573">
        <w:rPr>
          <w:rFonts w:ascii="Times New Roman" w:eastAsia="Times New Roman" w:hAnsi="Times New Roman" w:cs="Times New Roman"/>
          <w:i/>
          <w:sz w:val="24"/>
          <w:szCs w:val="24"/>
        </w:rPr>
        <w:t>Juízes</w:t>
      </w:r>
      <w:proofErr w:type="spellEnd"/>
      <w:r w:rsidR="00954573" w:rsidRPr="00954573">
        <w:rPr>
          <w:rFonts w:ascii="Times New Roman" w:eastAsia="Times New Roman" w:hAnsi="Times New Roman" w:cs="Times New Roman"/>
          <w:i/>
          <w:sz w:val="24"/>
          <w:szCs w:val="24"/>
        </w:rPr>
        <w:t xml:space="preserve"> </w:t>
      </w:r>
      <w:proofErr w:type="spellStart"/>
      <w:r w:rsidR="00954573" w:rsidRPr="00954573">
        <w:rPr>
          <w:rFonts w:ascii="Times New Roman" w:eastAsia="Times New Roman" w:hAnsi="Times New Roman" w:cs="Times New Roman"/>
          <w:i/>
          <w:sz w:val="24"/>
          <w:szCs w:val="24"/>
        </w:rPr>
        <w:t>Portugueses</w:t>
      </w:r>
      <w:proofErr w:type="spellEnd"/>
      <w:r w:rsidR="00954573" w:rsidRPr="00954573">
        <w:rPr>
          <w:rFonts w:ascii="Times New Roman" w:eastAsia="Times New Roman" w:hAnsi="Times New Roman" w:cs="Times New Roman"/>
          <w:i/>
          <w:sz w:val="24"/>
          <w:szCs w:val="24"/>
        </w:rPr>
        <w:t xml:space="preserve"> v Tribunal de </w:t>
      </w:r>
      <w:proofErr w:type="spellStart"/>
      <w:r w:rsidR="00954573" w:rsidRPr="00954573">
        <w:rPr>
          <w:rFonts w:ascii="Times New Roman" w:eastAsia="Times New Roman" w:hAnsi="Times New Roman" w:cs="Times New Roman"/>
          <w:i/>
          <w:sz w:val="24"/>
          <w:szCs w:val="24"/>
        </w:rPr>
        <w:t>Contas</w:t>
      </w:r>
      <w:proofErr w:type="spellEnd"/>
      <w:r w:rsidR="008F48E5" w:rsidRPr="008F48E5">
        <w:rPr>
          <w:rStyle w:val="FootnoteReference"/>
          <w:rFonts w:ascii="Times New Roman" w:eastAsia="Times New Roman" w:hAnsi="Times New Roman" w:cs="Times New Roman"/>
          <w:sz w:val="24"/>
          <w:szCs w:val="24"/>
        </w:rPr>
        <w:footnoteReference w:id="72"/>
      </w:r>
      <w:r w:rsidR="00D3262C">
        <w:rPr>
          <w:rFonts w:ascii="Times New Roman" w:eastAsia="Times New Roman" w:hAnsi="Times New Roman" w:cs="Times New Roman"/>
          <w:sz w:val="24"/>
          <w:szCs w:val="24"/>
        </w:rPr>
        <w:t xml:space="preserve"> and the discussed judgment </w:t>
      </w:r>
      <w:r w:rsidR="00D3262C" w:rsidRPr="00D3262C">
        <w:rPr>
          <w:rFonts w:ascii="Times New Roman" w:eastAsia="Times New Roman" w:hAnsi="Times New Roman" w:cs="Times New Roman"/>
          <w:sz w:val="24"/>
          <w:szCs w:val="24"/>
        </w:rPr>
        <w:t xml:space="preserve">case C-216/18PPPU </w:t>
      </w:r>
      <w:r w:rsidR="00D3262C" w:rsidRPr="00D3262C">
        <w:rPr>
          <w:rFonts w:ascii="Times New Roman" w:eastAsia="Times New Roman" w:hAnsi="Times New Roman" w:cs="Times New Roman"/>
          <w:i/>
          <w:sz w:val="24"/>
          <w:szCs w:val="24"/>
        </w:rPr>
        <w:t>LM</w:t>
      </w:r>
      <w:r w:rsidR="00D3262C">
        <w:rPr>
          <w:rFonts w:ascii="Times New Roman" w:eastAsia="Times New Roman" w:hAnsi="Times New Roman" w:cs="Times New Roman"/>
          <w:sz w:val="24"/>
          <w:szCs w:val="24"/>
        </w:rPr>
        <w:t xml:space="preserve"> cements this emerging line of jurisprudence</w:t>
      </w:r>
      <w:r w:rsidR="00155E44">
        <w:rPr>
          <w:rFonts w:ascii="Times New Roman" w:eastAsia="Times New Roman" w:hAnsi="Times New Roman" w:cs="Times New Roman"/>
          <w:sz w:val="24"/>
          <w:szCs w:val="24"/>
        </w:rPr>
        <w:t xml:space="preserve"> and equips the Court of Justice with legal ammunition to </w:t>
      </w:r>
      <w:r w:rsidR="00880082">
        <w:rPr>
          <w:rFonts w:ascii="Times New Roman" w:eastAsia="Times New Roman" w:hAnsi="Times New Roman" w:cs="Times New Roman"/>
          <w:sz w:val="24"/>
          <w:szCs w:val="24"/>
        </w:rPr>
        <w:t xml:space="preserve">deal with the already mentioned rule of law infringement proceedings against Poland and references from the Polish Courts. </w:t>
      </w:r>
      <w:r w:rsidR="00D35EB3">
        <w:rPr>
          <w:rFonts w:ascii="Times New Roman" w:eastAsia="Times New Roman" w:hAnsi="Times New Roman" w:cs="Times New Roman"/>
          <w:sz w:val="24"/>
          <w:szCs w:val="24"/>
        </w:rPr>
        <w:t xml:space="preserve">One has to agree with </w:t>
      </w:r>
      <w:r w:rsidR="00D35EB3" w:rsidRPr="00D35EB3">
        <w:rPr>
          <w:rFonts w:ascii="Times New Roman" w:eastAsia="Times New Roman" w:hAnsi="Times New Roman" w:cs="Times New Roman"/>
          <w:sz w:val="24"/>
          <w:szCs w:val="24"/>
        </w:rPr>
        <w:t xml:space="preserve">Matteo </w:t>
      </w:r>
      <w:proofErr w:type="spellStart"/>
      <w:r w:rsidR="00D35EB3" w:rsidRPr="00D35EB3">
        <w:rPr>
          <w:rFonts w:ascii="Times New Roman" w:eastAsia="Times New Roman" w:hAnsi="Times New Roman" w:cs="Times New Roman"/>
          <w:sz w:val="24"/>
          <w:szCs w:val="24"/>
        </w:rPr>
        <w:t>Bonelli</w:t>
      </w:r>
      <w:proofErr w:type="spellEnd"/>
      <w:r w:rsidR="00D35EB3" w:rsidRPr="00D35EB3">
        <w:rPr>
          <w:rFonts w:ascii="Times New Roman" w:eastAsia="Times New Roman" w:hAnsi="Times New Roman" w:cs="Times New Roman"/>
          <w:sz w:val="24"/>
          <w:szCs w:val="24"/>
        </w:rPr>
        <w:t xml:space="preserve"> and Monica </w:t>
      </w:r>
      <w:proofErr w:type="spellStart"/>
      <w:r w:rsidR="00D35EB3" w:rsidRPr="00D35EB3">
        <w:rPr>
          <w:rFonts w:ascii="Times New Roman" w:eastAsia="Times New Roman" w:hAnsi="Times New Roman" w:cs="Times New Roman"/>
          <w:sz w:val="24"/>
          <w:szCs w:val="24"/>
        </w:rPr>
        <w:t>Claes</w:t>
      </w:r>
      <w:proofErr w:type="spellEnd"/>
      <w:r w:rsidR="00D35EB3">
        <w:rPr>
          <w:rFonts w:ascii="Times New Roman" w:eastAsia="Times New Roman" w:hAnsi="Times New Roman" w:cs="Times New Roman"/>
          <w:sz w:val="24"/>
          <w:szCs w:val="24"/>
        </w:rPr>
        <w:t xml:space="preserve"> that </w:t>
      </w:r>
      <w:r w:rsidR="003973F3">
        <w:rPr>
          <w:rFonts w:ascii="Times New Roman" w:eastAsia="Times New Roman" w:hAnsi="Times New Roman" w:cs="Times New Roman"/>
          <w:sz w:val="24"/>
          <w:szCs w:val="24"/>
        </w:rPr>
        <w:t>case C-64/16</w:t>
      </w:r>
      <w:r w:rsidR="003973F3" w:rsidRPr="003973F3">
        <w:rPr>
          <w:rFonts w:ascii="Times New Roman" w:eastAsia="Times New Roman" w:hAnsi="Times New Roman" w:cs="Times New Roman"/>
          <w:sz w:val="24"/>
          <w:szCs w:val="24"/>
        </w:rPr>
        <w:t xml:space="preserve"> </w:t>
      </w:r>
      <w:proofErr w:type="spellStart"/>
      <w:r w:rsidR="003973F3" w:rsidRPr="003973F3">
        <w:rPr>
          <w:rFonts w:ascii="Times New Roman" w:eastAsia="Times New Roman" w:hAnsi="Times New Roman" w:cs="Times New Roman"/>
          <w:i/>
          <w:sz w:val="24"/>
          <w:szCs w:val="24"/>
        </w:rPr>
        <w:t>Associação</w:t>
      </w:r>
      <w:proofErr w:type="spellEnd"/>
      <w:r w:rsidR="003973F3" w:rsidRPr="003973F3">
        <w:rPr>
          <w:rFonts w:ascii="Times New Roman" w:eastAsia="Times New Roman" w:hAnsi="Times New Roman" w:cs="Times New Roman"/>
          <w:i/>
          <w:sz w:val="24"/>
          <w:szCs w:val="24"/>
        </w:rPr>
        <w:t xml:space="preserve"> </w:t>
      </w:r>
      <w:proofErr w:type="spellStart"/>
      <w:r w:rsidR="003973F3" w:rsidRPr="003973F3">
        <w:rPr>
          <w:rFonts w:ascii="Times New Roman" w:eastAsia="Times New Roman" w:hAnsi="Times New Roman" w:cs="Times New Roman"/>
          <w:i/>
          <w:sz w:val="24"/>
          <w:szCs w:val="24"/>
        </w:rPr>
        <w:t>Sindical</w:t>
      </w:r>
      <w:proofErr w:type="spellEnd"/>
      <w:r w:rsidR="003973F3" w:rsidRPr="003973F3">
        <w:rPr>
          <w:rFonts w:ascii="Times New Roman" w:eastAsia="Times New Roman" w:hAnsi="Times New Roman" w:cs="Times New Roman"/>
          <w:i/>
          <w:sz w:val="24"/>
          <w:szCs w:val="24"/>
        </w:rPr>
        <w:t xml:space="preserve"> dos </w:t>
      </w:r>
      <w:proofErr w:type="spellStart"/>
      <w:r w:rsidR="003973F3" w:rsidRPr="003973F3">
        <w:rPr>
          <w:rFonts w:ascii="Times New Roman" w:eastAsia="Times New Roman" w:hAnsi="Times New Roman" w:cs="Times New Roman"/>
          <w:i/>
          <w:sz w:val="24"/>
          <w:szCs w:val="24"/>
        </w:rPr>
        <w:t>Juízes</w:t>
      </w:r>
      <w:proofErr w:type="spellEnd"/>
      <w:r w:rsidR="003973F3" w:rsidRPr="003973F3">
        <w:rPr>
          <w:rFonts w:ascii="Times New Roman" w:eastAsia="Times New Roman" w:hAnsi="Times New Roman" w:cs="Times New Roman"/>
          <w:i/>
          <w:sz w:val="24"/>
          <w:szCs w:val="24"/>
        </w:rPr>
        <w:t xml:space="preserve"> </w:t>
      </w:r>
      <w:proofErr w:type="spellStart"/>
      <w:r w:rsidR="003973F3" w:rsidRPr="003973F3">
        <w:rPr>
          <w:rFonts w:ascii="Times New Roman" w:eastAsia="Times New Roman" w:hAnsi="Times New Roman" w:cs="Times New Roman"/>
          <w:i/>
          <w:sz w:val="24"/>
          <w:szCs w:val="24"/>
        </w:rPr>
        <w:t>Portugueses</w:t>
      </w:r>
      <w:proofErr w:type="spellEnd"/>
      <w:r w:rsidR="003973F3" w:rsidRPr="003973F3">
        <w:rPr>
          <w:rFonts w:ascii="Times New Roman" w:eastAsia="Times New Roman" w:hAnsi="Times New Roman" w:cs="Times New Roman"/>
          <w:i/>
          <w:sz w:val="24"/>
          <w:szCs w:val="24"/>
        </w:rPr>
        <w:t xml:space="preserve"> </w:t>
      </w:r>
      <w:r w:rsidR="00D35EB3">
        <w:rPr>
          <w:rFonts w:ascii="Times New Roman" w:eastAsia="Times New Roman" w:hAnsi="Times New Roman" w:cs="Times New Roman"/>
          <w:sz w:val="24"/>
          <w:szCs w:val="24"/>
        </w:rPr>
        <w:t>arrived at a perfect time and amount</w:t>
      </w:r>
      <w:r w:rsidR="0032585F">
        <w:rPr>
          <w:rFonts w:ascii="Times New Roman" w:eastAsia="Times New Roman" w:hAnsi="Times New Roman" w:cs="Times New Roman"/>
          <w:sz w:val="24"/>
          <w:szCs w:val="24"/>
        </w:rPr>
        <w:t>ed</w:t>
      </w:r>
      <w:r w:rsidR="00D35EB3">
        <w:rPr>
          <w:rFonts w:ascii="Times New Roman" w:eastAsia="Times New Roman" w:hAnsi="Times New Roman" w:cs="Times New Roman"/>
          <w:sz w:val="24"/>
          <w:szCs w:val="24"/>
        </w:rPr>
        <w:t xml:space="preserve"> to judicial serendipity.</w:t>
      </w:r>
      <w:r w:rsidR="008F48E5">
        <w:rPr>
          <w:rStyle w:val="FootnoteReference"/>
          <w:rFonts w:ascii="Times New Roman" w:eastAsia="Times New Roman" w:hAnsi="Times New Roman" w:cs="Times New Roman"/>
          <w:sz w:val="24"/>
          <w:szCs w:val="24"/>
        </w:rPr>
        <w:footnoteReference w:id="73"/>
      </w:r>
      <w:r w:rsidR="00D35EB3">
        <w:rPr>
          <w:rFonts w:ascii="Times New Roman" w:eastAsia="Times New Roman" w:hAnsi="Times New Roman" w:cs="Times New Roman"/>
          <w:sz w:val="24"/>
          <w:szCs w:val="24"/>
        </w:rPr>
        <w:t xml:space="preserve"> </w:t>
      </w:r>
      <w:r w:rsidR="00D015B5">
        <w:rPr>
          <w:rFonts w:ascii="Times New Roman" w:eastAsia="Times New Roman" w:hAnsi="Times New Roman" w:cs="Times New Roman"/>
          <w:sz w:val="24"/>
          <w:szCs w:val="24"/>
        </w:rPr>
        <w:t>It allowed the Court of Justice to develop key principles</w:t>
      </w:r>
      <w:r w:rsidR="00990E07">
        <w:rPr>
          <w:rFonts w:ascii="Times New Roman" w:eastAsia="Times New Roman" w:hAnsi="Times New Roman" w:cs="Times New Roman"/>
          <w:sz w:val="24"/>
          <w:szCs w:val="24"/>
        </w:rPr>
        <w:t xml:space="preserve"> in a case of lesser political gravity. By the same token, it paved the way for highly politicised cases regarding respect for rule of law in Poland and Hungary. </w:t>
      </w:r>
      <w:r w:rsidR="00B9020A">
        <w:rPr>
          <w:rFonts w:ascii="Times New Roman" w:eastAsia="Times New Roman" w:hAnsi="Times New Roman" w:cs="Times New Roman"/>
          <w:sz w:val="24"/>
          <w:szCs w:val="24"/>
        </w:rPr>
        <w:t xml:space="preserve">As already noted, </w:t>
      </w:r>
      <w:r w:rsidR="007712A4">
        <w:rPr>
          <w:rFonts w:ascii="Times New Roman" w:eastAsia="Times New Roman" w:hAnsi="Times New Roman" w:cs="Times New Roman"/>
          <w:sz w:val="24"/>
          <w:szCs w:val="24"/>
        </w:rPr>
        <w:t xml:space="preserve">case </w:t>
      </w:r>
      <w:r w:rsidR="007712A4" w:rsidRPr="007712A4">
        <w:rPr>
          <w:rFonts w:ascii="Times New Roman" w:eastAsia="Times New Roman" w:hAnsi="Times New Roman" w:cs="Times New Roman"/>
          <w:sz w:val="24"/>
          <w:szCs w:val="24"/>
        </w:rPr>
        <w:t xml:space="preserve">C-216/18PPPU </w:t>
      </w:r>
      <w:r w:rsidR="007712A4" w:rsidRPr="007712A4">
        <w:rPr>
          <w:rFonts w:ascii="Times New Roman" w:eastAsia="Times New Roman" w:hAnsi="Times New Roman" w:cs="Times New Roman"/>
          <w:i/>
          <w:sz w:val="24"/>
          <w:szCs w:val="24"/>
        </w:rPr>
        <w:t>LM</w:t>
      </w:r>
      <w:r w:rsidR="007712A4">
        <w:rPr>
          <w:rFonts w:ascii="Times New Roman" w:eastAsia="Times New Roman" w:hAnsi="Times New Roman" w:cs="Times New Roman"/>
          <w:sz w:val="24"/>
          <w:szCs w:val="24"/>
        </w:rPr>
        <w:t xml:space="preserve"> </w:t>
      </w:r>
      <w:r w:rsidR="00B9020A">
        <w:rPr>
          <w:rFonts w:ascii="Times New Roman" w:eastAsia="Times New Roman" w:hAnsi="Times New Roman" w:cs="Times New Roman"/>
          <w:sz w:val="24"/>
          <w:szCs w:val="24"/>
        </w:rPr>
        <w:t xml:space="preserve">has been the first in line. </w:t>
      </w:r>
      <w:r w:rsidR="00516D71">
        <w:rPr>
          <w:rFonts w:ascii="Times New Roman" w:eastAsia="Times New Roman" w:hAnsi="Times New Roman" w:cs="Times New Roman"/>
          <w:sz w:val="24"/>
          <w:szCs w:val="24"/>
        </w:rPr>
        <w:t xml:space="preserve">The Court of Justice has emphasised that judicial independence is at the heart of </w:t>
      </w:r>
      <w:r w:rsidR="003F4BF4">
        <w:rPr>
          <w:rFonts w:ascii="Times New Roman" w:eastAsia="Times New Roman" w:hAnsi="Times New Roman" w:cs="Times New Roman"/>
          <w:sz w:val="24"/>
          <w:szCs w:val="24"/>
        </w:rPr>
        <w:t xml:space="preserve">the fundamental right to fair trial, which </w:t>
      </w:r>
      <w:r w:rsidR="001B2D9E">
        <w:rPr>
          <w:rFonts w:ascii="Times New Roman" w:eastAsia="Times New Roman" w:hAnsi="Times New Roman" w:cs="Times New Roman"/>
          <w:sz w:val="24"/>
          <w:szCs w:val="24"/>
        </w:rPr>
        <w:t>is guaranteed by Article 47 of the Charter of Fundamental Rights.</w:t>
      </w:r>
      <w:r w:rsidR="00437BBC">
        <w:rPr>
          <w:rStyle w:val="FootnoteReference"/>
          <w:rFonts w:ascii="Times New Roman" w:eastAsia="Times New Roman" w:hAnsi="Times New Roman" w:cs="Times New Roman"/>
          <w:sz w:val="24"/>
          <w:szCs w:val="24"/>
        </w:rPr>
        <w:footnoteReference w:id="74"/>
      </w:r>
      <w:r w:rsidR="001B2D9E">
        <w:rPr>
          <w:rFonts w:ascii="Times New Roman" w:eastAsia="Times New Roman" w:hAnsi="Times New Roman" w:cs="Times New Roman"/>
          <w:sz w:val="24"/>
          <w:szCs w:val="24"/>
        </w:rPr>
        <w:t xml:space="preserve"> The Court of Justice </w:t>
      </w:r>
      <w:r w:rsidR="00F21D34">
        <w:rPr>
          <w:rFonts w:ascii="Times New Roman" w:eastAsia="Times New Roman" w:hAnsi="Times New Roman" w:cs="Times New Roman"/>
          <w:sz w:val="24"/>
          <w:szCs w:val="24"/>
        </w:rPr>
        <w:t>has also</w:t>
      </w:r>
      <w:r w:rsidR="001B2D9E">
        <w:rPr>
          <w:rFonts w:ascii="Times New Roman" w:eastAsia="Times New Roman" w:hAnsi="Times New Roman" w:cs="Times New Roman"/>
          <w:sz w:val="24"/>
          <w:szCs w:val="24"/>
        </w:rPr>
        <w:t xml:space="preserve"> br</w:t>
      </w:r>
      <w:r w:rsidR="00F21D34">
        <w:rPr>
          <w:rFonts w:ascii="Times New Roman" w:eastAsia="Times New Roman" w:hAnsi="Times New Roman" w:cs="Times New Roman"/>
          <w:sz w:val="24"/>
          <w:szCs w:val="24"/>
        </w:rPr>
        <w:t>ought</w:t>
      </w:r>
      <w:r w:rsidR="001B2D9E">
        <w:rPr>
          <w:rFonts w:ascii="Times New Roman" w:eastAsia="Times New Roman" w:hAnsi="Times New Roman" w:cs="Times New Roman"/>
          <w:sz w:val="24"/>
          <w:szCs w:val="24"/>
        </w:rPr>
        <w:t xml:space="preserve"> to the fore Article 19 TEU, which “</w:t>
      </w:r>
      <w:r w:rsidR="000F18F6">
        <w:rPr>
          <w:rFonts w:ascii="Times New Roman" w:eastAsia="Times New Roman" w:hAnsi="Times New Roman" w:cs="Times New Roman"/>
          <w:sz w:val="24"/>
          <w:szCs w:val="24"/>
        </w:rPr>
        <w:t>gives concrete expression to the value of the rule of law affirmed in Article 2 TEU</w:t>
      </w:r>
      <w:r w:rsidR="0095428F">
        <w:rPr>
          <w:rFonts w:ascii="Times New Roman" w:eastAsia="Times New Roman" w:hAnsi="Times New Roman" w:cs="Times New Roman"/>
          <w:sz w:val="24"/>
          <w:szCs w:val="24"/>
        </w:rPr>
        <w:t>”</w:t>
      </w:r>
      <w:r w:rsidR="000F18F6">
        <w:rPr>
          <w:rFonts w:ascii="Times New Roman" w:eastAsia="Times New Roman" w:hAnsi="Times New Roman" w:cs="Times New Roman"/>
          <w:sz w:val="24"/>
          <w:szCs w:val="24"/>
        </w:rPr>
        <w:t>.</w:t>
      </w:r>
      <w:r w:rsidR="0095428F">
        <w:rPr>
          <w:rStyle w:val="FootnoteReference"/>
          <w:rFonts w:ascii="Times New Roman" w:eastAsia="Times New Roman" w:hAnsi="Times New Roman" w:cs="Times New Roman"/>
          <w:sz w:val="24"/>
          <w:szCs w:val="24"/>
        </w:rPr>
        <w:footnoteReference w:id="75"/>
      </w:r>
      <w:r w:rsidR="000F18F6">
        <w:rPr>
          <w:rFonts w:ascii="Times New Roman" w:eastAsia="Times New Roman" w:hAnsi="Times New Roman" w:cs="Times New Roman"/>
          <w:sz w:val="24"/>
          <w:szCs w:val="24"/>
        </w:rPr>
        <w:t xml:space="preserve"> </w:t>
      </w:r>
      <w:r w:rsidR="0095428F">
        <w:rPr>
          <w:rFonts w:ascii="Times New Roman" w:eastAsia="Times New Roman" w:hAnsi="Times New Roman" w:cs="Times New Roman"/>
          <w:sz w:val="24"/>
          <w:szCs w:val="24"/>
        </w:rPr>
        <w:t xml:space="preserve">It creates an obligation for national courts to </w:t>
      </w:r>
      <w:r w:rsidR="00E53562">
        <w:rPr>
          <w:rFonts w:ascii="Times New Roman" w:eastAsia="Times New Roman" w:hAnsi="Times New Roman" w:cs="Times New Roman"/>
          <w:sz w:val="24"/>
          <w:szCs w:val="24"/>
        </w:rPr>
        <w:t>guarantee full application of EU law in the Member States and protect the rights of individuals. This is a well-known treatise, which with entry into force of the Treaty of Lisbon, found a proper legal basis in the EU Founding Treaties</w:t>
      </w:r>
      <w:r w:rsidR="00452432">
        <w:rPr>
          <w:rFonts w:ascii="Times New Roman" w:eastAsia="Times New Roman" w:hAnsi="Times New Roman" w:cs="Times New Roman"/>
          <w:sz w:val="24"/>
          <w:szCs w:val="24"/>
        </w:rPr>
        <w:t xml:space="preserve"> (Article 19 TEU)</w:t>
      </w:r>
      <w:r w:rsidR="00E53562">
        <w:rPr>
          <w:rFonts w:ascii="Times New Roman" w:eastAsia="Times New Roman" w:hAnsi="Times New Roman" w:cs="Times New Roman"/>
          <w:sz w:val="24"/>
          <w:szCs w:val="24"/>
        </w:rPr>
        <w:t xml:space="preserve">. </w:t>
      </w:r>
      <w:r w:rsidR="0006208B">
        <w:rPr>
          <w:rFonts w:ascii="Times New Roman" w:eastAsia="Times New Roman" w:hAnsi="Times New Roman" w:cs="Times New Roman"/>
          <w:sz w:val="24"/>
          <w:szCs w:val="24"/>
        </w:rPr>
        <w:t xml:space="preserve">In this context independence of national courts is a core requirement, also for </w:t>
      </w:r>
      <w:r w:rsidR="00183987">
        <w:rPr>
          <w:rFonts w:ascii="Times New Roman" w:eastAsia="Times New Roman" w:hAnsi="Times New Roman" w:cs="Times New Roman"/>
          <w:sz w:val="24"/>
          <w:szCs w:val="24"/>
        </w:rPr>
        <w:t xml:space="preserve">effective functioning of the EAW, based on mutual trust and mutual recognition. </w:t>
      </w:r>
      <w:r w:rsidR="003128BC">
        <w:rPr>
          <w:rFonts w:ascii="Times New Roman" w:eastAsia="Times New Roman" w:hAnsi="Times New Roman" w:cs="Times New Roman"/>
          <w:sz w:val="24"/>
          <w:szCs w:val="24"/>
        </w:rPr>
        <w:t xml:space="preserve">The Court of Justice </w:t>
      </w:r>
      <w:r w:rsidR="00452432">
        <w:rPr>
          <w:rFonts w:ascii="Times New Roman" w:eastAsia="Times New Roman" w:hAnsi="Times New Roman" w:cs="Times New Roman"/>
          <w:sz w:val="24"/>
          <w:szCs w:val="24"/>
        </w:rPr>
        <w:t>has clarified</w:t>
      </w:r>
      <w:r w:rsidR="003128BC">
        <w:rPr>
          <w:rFonts w:ascii="Times New Roman" w:eastAsia="Times New Roman" w:hAnsi="Times New Roman" w:cs="Times New Roman"/>
          <w:sz w:val="24"/>
          <w:szCs w:val="24"/>
        </w:rPr>
        <w:t xml:space="preserve"> in turn that </w:t>
      </w:r>
      <w:r w:rsidR="001127DC">
        <w:rPr>
          <w:rFonts w:ascii="Times New Roman" w:eastAsia="Times New Roman" w:hAnsi="Times New Roman" w:cs="Times New Roman"/>
          <w:sz w:val="24"/>
          <w:szCs w:val="24"/>
        </w:rPr>
        <w:t xml:space="preserve">the decisions on issuing and on execution of the European Arrest Warrants need to be taken by independent courts. Furthermore, in para. 57 the judges </w:t>
      </w:r>
      <w:r w:rsidR="00452432">
        <w:rPr>
          <w:rFonts w:ascii="Times New Roman" w:eastAsia="Times New Roman" w:hAnsi="Times New Roman" w:cs="Times New Roman"/>
          <w:sz w:val="24"/>
          <w:szCs w:val="24"/>
        </w:rPr>
        <w:t xml:space="preserve">have </w:t>
      </w:r>
      <w:r w:rsidR="001127DC">
        <w:rPr>
          <w:rFonts w:ascii="Times New Roman" w:eastAsia="Times New Roman" w:hAnsi="Times New Roman" w:cs="Times New Roman"/>
          <w:sz w:val="24"/>
          <w:szCs w:val="24"/>
        </w:rPr>
        <w:t>rather boldly emphasise</w:t>
      </w:r>
      <w:r w:rsidR="00452432">
        <w:rPr>
          <w:rFonts w:ascii="Times New Roman" w:eastAsia="Times New Roman" w:hAnsi="Times New Roman" w:cs="Times New Roman"/>
          <w:sz w:val="24"/>
          <w:szCs w:val="24"/>
        </w:rPr>
        <w:t>d</w:t>
      </w:r>
      <w:r w:rsidR="001127DC">
        <w:rPr>
          <w:rFonts w:ascii="Times New Roman" w:eastAsia="Times New Roman" w:hAnsi="Times New Roman" w:cs="Times New Roman"/>
          <w:sz w:val="24"/>
          <w:szCs w:val="24"/>
        </w:rPr>
        <w:t xml:space="preserve"> the obvious</w:t>
      </w:r>
      <w:r w:rsidR="008F1391">
        <w:rPr>
          <w:rFonts w:ascii="Times New Roman" w:eastAsia="Times New Roman" w:hAnsi="Times New Roman" w:cs="Times New Roman"/>
          <w:sz w:val="24"/>
          <w:szCs w:val="24"/>
        </w:rPr>
        <w:t xml:space="preserve"> that even in the areas not covered by EU law the Member States have to observe the ECHR, in particular the right to fair trial. </w:t>
      </w:r>
      <w:r w:rsidR="000D38E6">
        <w:rPr>
          <w:rFonts w:ascii="Times New Roman" w:eastAsia="Times New Roman" w:hAnsi="Times New Roman" w:cs="Times New Roman"/>
          <w:sz w:val="24"/>
          <w:szCs w:val="24"/>
        </w:rPr>
        <w:t xml:space="preserve">The Court </w:t>
      </w:r>
      <w:r w:rsidR="00452432">
        <w:rPr>
          <w:rFonts w:ascii="Times New Roman" w:eastAsia="Times New Roman" w:hAnsi="Times New Roman" w:cs="Times New Roman"/>
          <w:sz w:val="24"/>
          <w:szCs w:val="24"/>
        </w:rPr>
        <w:t>has in turn provided</w:t>
      </w:r>
      <w:r w:rsidR="000D38E6">
        <w:rPr>
          <w:rFonts w:ascii="Times New Roman" w:eastAsia="Times New Roman" w:hAnsi="Times New Roman" w:cs="Times New Roman"/>
          <w:sz w:val="24"/>
          <w:szCs w:val="24"/>
        </w:rPr>
        <w:t xml:space="preserve"> guidance to national courts as to factors, which should be taken into account </w:t>
      </w:r>
      <w:r w:rsidR="00C9715B">
        <w:rPr>
          <w:rFonts w:ascii="Times New Roman" w:eastAsia="Times New Roman" w:hAnsi="Times New Roman" w:cs="Times New Roman"/>
          <w:sz w:val="24"/>
          <w:szCs w:val="24"/>
        </w:rPr>
        <w:t xml:space="preserve">by the executing judicial authority when conducting </w:t>
      </w:r>
      <w:r w:rsidR="00C14B19">
        <w:rPr>
          <w:rFonts w:ascii="Times New Roman" w:eastAsia="Times New Roman" w:hAnsi="Times New Roman" w:cs="Times New Roman"/>
          <w:sz w:val="24"/>
          <w:szCs w:val="24"/>
        </w:rPr>
        <w:t>an assessment of state of affairs in the requesting country. For insta</w:t>
      </w:r>
      <w:r w:rsidR="00452432">
        <w:rPr>
          <w:rFonts w:ascii="Times New Roman" w:eastAsia="Times New Roman" w:hAnsi="Times New Roman" w:cs="Times New Roman"/>
          <w:sz w:val="24"/>
          <w:szCs w:val="24"/>
        </w:rPr>
        <w:t>nce, the Court of Justice delved</w:t>
      </w:r>
      <w:r w:rsidR="00C14B19">
        <w:rPr>
          <w:rFonts w:ascii="Times New Roman" w:eastAsia="Times New Roman" w:hAnsi="Times New Roman" w:cs="Times New Roman"/>
          <w:sz w:val="24"/>
          <w:szCs w:val="24"/>
        </w:rPr>
        <w:t xml:space="preserve"> into </w:t>
      </w:r>
      <w:r w:rsidR="00F61B9C">
        <w:rPr>
          <w:rFonts w:ascii="Times New Roman" w:eastAsia="Times New Roman" w:hAnsi="Times New Roman" w:cs="Times New Roman"/>
          <w:sz w:val="24"/>
          <w:szCs w:val="24"/>
        </w:rPr>
        <w:t>external and internal aspects of judicial independence.</w:t>
      </w:r>
      <w:r w:rsidR="007A6F66">
        <w:rPr>
          <w:rStyle w:val="FootnoteReference"/>
          <w:rFonts w:ascii="Times New Roman" w:eastAsia="Times New Roman" w:hAnsi="Times New Roman" w:cs="Times New Roman"/>
          <w:sz w:val="24"/>
          <w:szCs w:val="24"/>
        </w:rPr>
        <w:footnoteReference w:id="76"/>
      </w:r>
      <w:r w:rsidR="00F61B9C">
        <w:rPr>
          <w:rFonts w:ascii="Times New Roman" w:eastAsia="Times New Roman" w:hAnsi="Times New Roman" w:cs="Times New Roman"/>
          <w:sz w:val="24"/>
          <w:szCs w:val="24"/>
        </w:rPr>
        <w:t xml:space="preserve"> </w:t>
      </w:r>
      <w:r w:rsidR="00452432">
        <w:rPr>
          <w:rFonts w:ascii="Times New Roman" w:eastAsia="Times New Roman" w:hAnsi="Times New Roman" w:cs="Times New Roman"/>
          <w:sz w:val="24"/>
          <w:szCs w:val="24"/>
        </w:rPr>
        <w:t>This led</w:t>
      </w:r>
      <w:r w:rsidR="00343C5F">
        <w:rPr>
          <w:rFonts w:ascii="Times New Roman" w:eastAsia="Times New Roman" w:hAnsi="Times New Roman" w:cs="Times New Roman"/>
          <w:sz w:val="24"/>
          <w:szCs w:val="24"/>
        </w:rPr>
        <w:t xml:space="preserve"> to the exact </w:t>
      </w:r>
      <w:r w:rsidR="00343C5F" w:rsidRPr="00343C5F">
        <w:rPr>
          <w:rFonts w:ascii="Times New Roman" w:eastAsia="Times New Roman" w:hAnsi="Times New Roman" w:cs="Times New Roman"/>
          <w:i/>
          <w:sz w:val="24"/>
          <w:szCs w:val="24"/>
        </w:rPr>
        <w:t>modus operandi</w:t>
      </w:r>
      <w:r w:rsidR="00343C5F">
        <w:rPr>
          <w:rFonts w:ascii="Times New Roman" w:eastAsia="Times New Roman" w:hAnsi="Times New Roman" w:cs="Times New Roman"/>
          <w:sz w:val="24"/>
          <w:szCs w:val="24"/>
        </w:rPr>
        <w:t xml:space="preserve"> the national courts should follow. </w:t>
      </w:r>
      <w:r w:rsidR="005333D1">
        <w:rPr>
          <w:rFonts w:ascii="Times New Roman" w:eastAsia="Times New Roman" w:hAnsi="Times New Roman" w:cs="Times New Roman"/>
          <w:sz w:val="24"/>
          <w:szCs w:val="24"/>
        </w:rPr>
        <w:t xml:space="preserve">The Court of Justice </w:t>
      </w:r>
      <w:r w:rsidR="00452432">
        <w:rPr>
          <w:rFonts w:ascii="Times New Roman" w:eastAsia="Times New Roman" w:hAnsi="Times New Roman" w:cs="Times New Roman"/>
          <w:sz w:val="24"/>
          <w:szCs w:val="24"/>
        </w:rPr>
        <w:t>has followed</w:t>
      </w:r>
      <w:r w:rsidR="005333D1">
        <w:rPr>
          <w:rFonts w:ascii="Times New Roman" w:eastAsia="Times New Roman" w:hAnsi="Times New Roman" w:cs="Times New Roman"/>
          <w:sz w:val="24"/>
          <w:szCs w:val="24"/>
        </w:rPr>
        <w:t xml:space="preserve"> in this respect the test laid down in judgment </w:t>
      </w:r>
      <w:proofErr w:type="spellStart"/>
      <w:r w:rsidR="005333D1" w:rsidRPr="00BC79D6">
        <w:rPr>
          <w:rFonts w:ascii="Times New Roman" w:eastAsia="Times New Roman" w:hAnsi="Times New Roman" w:cs="Times New Roman"/>
          <w:i/>
          <w:sz w:val="24"/>
          <w:szCs w:val="24"/>
        </w:rPr>
        <w:t>Aranyosi</w:t>
      </w:r>
      <w:proofErr w:type="spellEnd"/>
      <w:r w:rsidR="005333D1" w:rsidRPr="00BC79D6">
        <w:rPr>
          <w:rFonts w:ascii="Times New Roman" w:eastAsia="Times New Roman" w:hAnsi="Times New Roman" w:cs="Times New Roman"/>
          <w:i/>
          <w:sz w:val="24"/>
          <w:szCs w:val="24"/>
        </w:rPr>
        <w:t xml:space="preserve"> and </w:t>
      </w:r>
      <w:proofErr w:type="spellStart"/>
      <w:r w:rsidR="005333D1" w:rsidRPr="00BC79D6">
        <w:rPr>
          <w:rFonts w:ascii="Times New Roman" w:eastAsia="Times New Roman" w:hAnsi="Times New Roman" w:cs="Times New Roman"/>
          <w:i/>
          <w:sz w:val="24"/>
          <w:szCs w:val="24"/>
        </w:rPr>
        <w:t>Căldăraru</w:t>
      </w:r>
      <w:proofErr w:type="spellEnd"/>
      <w:r w:rsidR="005333D1">
        <w:rPr>
          <w:rFonts w:ascii="Times New Roman" w:eastAsia="Times New Roman" w:hAnsi="Times New Roman" w:cs="Times New Roman"/>
          <w:sz w:val="24"/>
          <w:szCs w:val="24"/>
        </w:rPr>
        <w:t xml:space="preserve">, requiring the national judges to start with a general assessment and </w:t>
      </w:r>
      <w:r w:rsidR="00C93641">
        <w:rPr>
          <w:rFonts w:ascii="Times New Roman" w:eastAsia="Times New Roman" w:hAnsi="Times New Roman" w:cs="Times New Roman"/>
          <w:sz w:val="24"/>
          <w:szCs w:val="24"/>
        </w:rPr>
        <w:t xml:space="preserve">then, should doubts arise, </w:t>
      </w:r>
      <w:r w:rsidR="005333D1">
        <w:rPr>
          <w:rFonts w:ascii="Times New Roman" w:eastAsia="Times New Roman" w:hAnsi="Times New Roman" w:cs="Times New Roman"/>
          <w:sz w:val="24"/>
          <w:szCs w:val="24"/>
        </w:rPr>
        <w:t xml:space="preserve">follow-up with an individual analysis based on </w:t>
      </w:r>
      <w:r w:rsidR="00BC79D6">
        <w:rPr>
          <w:rFonts w:ascii="Times New Roman" w:eastAsia="Times New Roman" w:hAnsi="Times New Roman" w:cs="Times New Roman"/>
          <w:sz w:val="24"/>
          <w:szCs w:val="24"/>
        </w:rPr>
        <w:t xml:space="preserve">clarifications received from the requesting judicial authority. </w:t>
      </w:r>
      <w:r w:rsidR="004C130B">
        <w:rPr>
          <w:rFonts w:ascii="Times New Roman" w:eastAsia="Times New Roman" w:hAnsi="Times New Roman" w:cs="Times New Roman"/>
          <w:sz w:val="24"/>
          <w:szCs w:val="24"/>
        </w:rPr>
        <w:t xml:space="preserve">The latter is required </w:t>
      </w:r>
      <w:r w:rsidR="005E0270">
        <w:rPr>
          <w:rFonts w:ascii="Times New Roman" w:eastAsia="Times New Roman" w:hAnsi="Times New Roman" w:cs="Times New Roman"/>
          <w:sz w:val="24"/>
          <w:szCs w:val="24"/>
        </w:rPr>
        <w:t>even, as in the case at hand, when the European Commission publishes a reasoned proposal and, by the same token, triggers Article 7 TEU proceedings.</w:t>
      </w:r>
      <w:r w:rsidR="006E452F">
        <w:rPr>
          <w:rFonts w:ascii="Times New Roman" w:eastAsia="Times New Roman" w:hAnsi="Times New Roman" w:cs="Times New Roman"/>
          <w:sz w:val="24"/>
          <w:szCs w:val="24"/>
        </w:rPr>
        <w:t xml:space="preserve"> </w:t>
      </w:r>
      <w:r w:rsidR="00947B8D">
        <w:rPr>
          <w:rFonts w:ascii="Times New Roman" w:eastAsia="Times New Roman" w:hAnsi="Times New Roman" w:cs="Times New Roman"/>
          <w:sz w:val="24"/>
          <w:szCs w:val="24"/>
        </w:rPr>
        <w:t xml:space="preserve">The </w:t>
      </w:r>
      <w:r w:rsidR="00C4382D">
        <w:rPr>
          <w:rFonts w:ascii="Times New Roman" w:eastAsia="Times New Roman" w:hAnsi="Times New Roman" w:cs="Times New Roman"/>
          <w:sz w:val="24"/>
          <w:szCs w:val="24"/>
        </w:rPr>
        <w:t>two-step</w:t>
      </w:r>
      <w:r w:rsidR="00947B8D">
        <w:rPr>
          <w:rFonts w:ascii="Times New Roman" w:eastAsia="Times New Roman" w:hAnsi="Times New Roman" w:cs="Times New Roman"/>
          <w:sz w:val="24"/>
          <w:szCs w:val="24"/>
        </w:rPr>
        <w:t xml:space="preserve"> process </w:t>
      </w:r>
      <w:r w:rsidR="00452432">
        <w:rPr>
          <w:rFonts w:ascii="Times New Roman" w:eastAsia="Times New Roman" w:hAnsi="Times New Roman" w:cs="Times New Roman"/>
          <w:sz w:val="24"/>
          <w:szCs w:val="24"/>
        </w:rPr>
        <w:t>has been</w:t>
      </w:r>
      <w:r w:rsidR="00947B8D">
        <w:rPr>
          <w:rFonts w:ascii="Times New Roman" w:eastAsia="Times New Roman" w:hAnsi="Times New Roman" w:cs="Times New Roman"/>
          <w:sz w:val="24"/>
          <w:szCs w:val="24"/>
        </w:rPr>
        <w:t xml:space="preserve"> summarised by the Court of Justice in the following fashion:</w:t>
      </w:r>
    </w:p>
    <w:p w14:paraId="4F37EB55" w14:textId="57557855" w:rsidR="00947B8D" w:rsidRDefault="00947B8D" w:rsidP="00CA2A7C">
      <w:pPr>
        <w:pStyle w:val="Default"/>
        <w:jc w:val="both"/>
        <w:rPr>
          <w:rFonts w:ascii="Times New Roman" w:eastAsia="Times New Roman" w:hAnsi="Times New Roman" w:cs="Times New Roman"/>
          <w:sz w:val="24"/>
          <w:szCs w:val="24"/>
        </w:rPr>
      </w:pPr>
    </w:p>
    <w:p w14:paraId="04F632EB" w14:textId="090C4AC0" w:rsidR="00947B8D" w:rsidRPr="00A11B0F" w:rsidRDefault="00C2665C" w:rsidP="00C2665C">
      <w:pPr>
        <w:pStyle w:val="Default"/>
        <w:ind w:left="1134" w:right="1133"/>
        <w:jc w:val="both"/>
        <w:rPr>
          <w:rFonts w:ascii="Times New Roman" w:eastAsia="Times New Roman" w:hAnsi="Times New Roman" w:cs="Times New Roman"/>
          <w:sz w:val="20"/>
          <w:szCs w:val="20"/>
        </w:rPr>
      </w:pPr>
      <w:r w:rsidRPr="00A11B0F">
        <w:rPr>
          <w:rFonts w:ascii="Times New Roman" w:eastAsia="Times New Roman" w:hAnsi="Times New Roman" w:cs="Times New Roman"/>
          <w:sz w:val="20"/>
          <w:szCs w:val="20"/>
        </w:rPr>
        <w:t>“If, having regard to the requirements noted in paragraphs 62 to 67 of the present judgment, the executing judicial authority finds that there is, in the issuing Member State, a real risk of breach of the essence of the fundamental right to a fair trial on account of systemic or generalised deficiencies concerning the judiciary of that Member State, such as to compromise the independence of that State’s courts, that authority must, as a second step, assess specifically and precisely whether, in the particular circumstances of the case, there are substantial grounds for believing that, following his surrender to the issuing Member State, the requested person will run that risk</w:t>
      </w:r>
      <w:r w:rsidR="00A11B0F" w:rsidRPr="00A11B0F">
        <w:rPr>
          <w:rFonts w:ascii="Times New Roman" w:eastAsia="Times New Roman" w:hAnsi="Times New Roman" w:cs="Times New Roman"/>
          <w:sz w:val="20"/>
          <w:szCs w:val="20"/>
        </w:rPr>
        <w:t>.</w:t>
      </w:r>
      <w:r w:rsidRPr="00A11B0F">
        <w:rPr>
          <w:rFonts w:ascii="Times New Roman" w:eastAsia="Times New Roman" w:hAnsi="Times New Roman" w:cs="Times New Roman"/>
          <w:sz w:val="20"/>
          <w:szCs w:val="20"/>
        </w:rPr>
        <w:t>”</w:t>
      </w:r>
      <w:r w:rsidR="00A11B0F" w:rsidRPr="00A11B0F">
        <w:rPr>
          <w:rStyle w:val="FootnoteReference"/>
          <w:rFonts w:ascii="Times New Roman" w:eastAsia="Times New Roman" w:hAnsi="Times New Roman" w:cs="Times New Roman"/>
          <w:sz w:val="20"/>
          <w:szCs w:val="20"/>
        </w:rPr>
        <w:footnoteReference w:id="77"/>
      </w:r>
    </w:p>
    <w:p w14:paraId="43A5D2A9" w14:textId="2A531F26" w:rsidR="00551D20" w:rsidRDefault="00551D20">
      <w:pPr>
        <w:pStyle w:val="Default"/>
        <w:rPr>
          <w:rFonts w:ascii="Times New Roman" w:eastAsia="Times New Roman" w:hAnsi="Times New Roman" w:cs="Times New Roman"/>
          <w:sz w:val="24"/>
          <w:szCs w:val="24"/>
        </w:rPr>
      </w:pPr>
    </w:p>
    <w:p w14:paraId="51DEBCA9" w14:textId="1C70623E" w:rsidR="00A11B0F" w:rsidRPr="00E26602" w:rsidRDefault="00C4382D" w:rsidP="00C4382D">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amounts to </w:t>
      </w:r>
      <w:proofErr w:type="spellStart"/>
      <w:r w:rsidRPr="00C4382D">
        <w:rPr>
          <w:rFonts w:ascii="Times New Roman" w:eastAsia="Times New Roman" w:hAnsi="Times New Roman" w:cs="Times New Roman"/>
          <w:i/>
          <w:sz w:val="24"/>
          <w:szCs w:val="24"/>
        </w:rPr>
        <w:t>Aranyosi</w:t>
      </w:r>
      <w:proofErr w:type="spellEnd"/>
      <w:r w:rsidRPr="00C4382D">
        <w:rPr>
          <w:rFonts w:ascii="Times New Roman" w:eastAsia="Times New Roman" w:hAnsi="Times New Roman" w:cs="Times New Roman"/>
          <w:i/>
          <w:sz w:val="24"/>
          <w:szCs w:val="24"/>
        </w:rPr>
        <w:t xml:space="preserve"> and </w:t>
      </w:r>
      <w:proofErr w:type="spellStart"/>
      <w:r w:rsidRPr="00C4382D">
        <w:rPr>
          <w:rFonts w:ascii="Times New Roman" w:eastAsia="Times New Roman" w:hAnsi="Times New Roman" w:cs="Times New Roman"/>
          <w:i/>
          <w:sz w:val="24"/>
          <w:szCs w:val="24"/>
        </w:rPr>
        <w:t>Căldăraru</w:t>
      </w:r>
      <w:proofErr w:type="spellEnd"/>
      <w:r w:rsidRPr="00C4382D">
        <w:rPr>
          <w:rFonts w:ascii="Times New Roman" w:eastAsia="Times New Roman" w:hAnsi="Times New Roman" w:cs="Times New Roman"/>
          <w:sz w:val="24"/>
          <w:szCs w:val="24"/>
        </w:rPr>
        <w:t xml:space="preserve"> revisited</w:t>
      </w:r>
      <w:r>
        <w:rPr>
          <w:rFonts w:ascii="Times New Roman" w:eastAsia="Times New Roman" w:hAnsi="Times New Roman" w:cs="Times New Roman"/>
          <w:sz w:val="24"/>
          <w:szCs w:val="24"/>
        </w:rPr>
        <w:t xml:space="preserve"> and does not follow the suggestions made by Advocate General </w:t>
      </w:r>
      <w:proofErr w:type="spellStart"/>
      <w:r>
        <w:rPr>
          <w:rFonts w:ascii="Times New Roman" w:eastAsia="Times New Roman" w:hAnsi="Times New Roman" w:cs="Times New Roman"/>
          <w:sz w:val="24"/>
          <w:szCs w:val="24"/>
        </w:rPr>
        <w:t>Tanchev</w:t>
      </w:r>
      <w:proofErr w:type="spellEnd"/>
      <w:r>
        <w:rPr>
          <w:rFonts w:ascii="Times New Roman" w:eastAsia="Times New Roman" w:hAnsi="Times New Roman" w:cs="Times New Roman"/>
          <w:sz w:val="24"/>
          <w:szCs w:val="24"/>
        </w:rPr>
        <w:t xml:space="preserve"> in his opinion.</w:t>
      </w:r>
      <w:r w:rsidR="004348A1">
        <w:rPr>
          <w:rStyle w:val="FootnoteReference"/>
          <w:rFonts w:ascii="Times New Roman" w:eastAsia="Times New Roman" w:hAnsi="Times New Roman" w:cs="Times New Roman"/>
          <w:sz w:val="24"/>
          <w:szCs w:val="24"/>
        </w:rPr>
        <w:footnoteReference w:id="78"/>
      </w:r>
      <w:r>
        <w:rPr>
          <w:rFonts w:ascii="Times New Roman" w:eastAsia="Times New Roman" w:hAnsi="Times New Roman" w:cs="Times New Roman"/>
          <w:sz w:val="24"/>
          <w:szCs w:val="24"/>
        </w:rPr>
        <w:t xml:space="preserve"> Furthe</w:t>
      </w:r>
      <w:r w:rsidR="004348A1">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more, it fails to </w:t>
      </w:r>
      <w:r w:rsidR="009C76A3">
        <w:rPr>
          <w:rFonts w:ascii="Times New Roman" w:eastAsia="Times New Roman" w:hAnsi="Times New Roman" w:cs="Times New Roman"/>
          <w:sz w:val="24"/>
          <w:szCs w:val="24"/>
        </w:rPr>
        <w:t>address the concerns raised by the Irish High Court in its reference for preliminary ruling about the second step, which for reasons explained further below</w:t>
      </w:r>
      <w:r w:rsidR="004B3209">
        <w:rPr>
          <w:rFonts w:ascii="Times New Roman" w:eastAsia="Times New Roman" w:hAnsi="Times New Roman" w:cs="Times New Roman"/>
          <w:sz w:val="24"/>
          <w:szCs w:val="24"/>
        </w:rPr>
        <w:t>,</w:t>
      </w:r>
      <w:r w:rsidR="009C76A3">
        <w:rPr>
          <w:rFonts w:ascii="Times New Roman" w:eastAsia="Times New Roman" w:hAnsi="Times New Roman" w:cs="Times New Roman"/>
          <w:sz w:val="24"/>
          <w:szCs w:val="24"/>
        </w:rPr>
        <w:t xml:space="preserve"> may </w:t>
      </w:r>
      <w:r w:rsidR="004348A1">
        <w:rPr>
          <w:rFonts w:ascii="Times New Roman" w:eastAsia="Times New Roman" w:hAnsi="Times New Roman" w:cs="Times New Roman"/>
          <w:sz w:val="24"/>
          <w:szCs w:val="24"/>
        </w:rPr>
        <w:t xml:space="preserve">prove </w:t>
      </w:r>
      <w:r w:rsidR="009C76A3">
        <w:rPr>
          <w:rFonts w:ascii="Times New Roman" w:eastAsia="Times New Roman" w:hAnsi="Times New Roman" w:cs="Times New Roman"/>
          <w:sz w:val="24"/>
          <w:szCs w:val="24"/>
        </w:rPr>
        <w:t xml:space="preserve">not </w:t>
      </w:r>
      <w:r w:rsidR="004348A1">
        <w:rPr>
          <w:rFonts w:ascii="Times New Roman" w:eastAsia="Times New Roman" w:hAnsi="Times New Roman" w:cs="Times New Roman"/>
          <w:sz w:val="24"/>
          <w:szCs w:val="24"/>
        </w:rPr>
        <w:t xml:space="preserve">to </w:t>
      </w:r>
      <w:r w:rsidR="009C76A3">
        <w:rPr>
          <w:rFonts w:ascii="Times New Roman" w:eastAsia="Times New Roman" w:hAnsi="Times New Roman" w:cs="Times New Roman"/>
          <w:sz w:val="24"/>
          <w:szCs w:val="24"/>
        </w:rPr>
        <w:t xml:space="preserve">be fit for purpose. </w:t>
      </w:r>
      <w:r w:rsidR="00E26602">
        <w:rPr>
          <w:rFonts w:ascii="Times New Roman" w:eastAsia="Times New Roman" w:hAnsi="Times New Roman" w:cs="Times New Roman"/>
          <w:sz w:val="24"/>
          <w:szCs w:val="24"/>
        </w:rPr>
        <w:t xml:space="preserve">When it comes to the general assessment, which constitutes the first step, the Court of Justice </w:t>
      </w:r>
      <w:r w:rsidR="00D41D79">
        <w:rPr>
          <w:rFonts w:ascii="Times New Roman" w:eastAsia="Times New Roman" w:hAnsi="Times New Roman" w:cs="Times New Roman"/>
          <w:sz w:val="24"/>
          <w:szCs w:val="24"/>
        </w:rPr>
        <w:t>has followed</w:t>
      </w:r>
      <w:r w:rsidR="00E26602">
        <w:rPr>
          <w:rFonts w:ascii="Times New Roman" w:eastAsia="Times New Roman" w:hAnsi="Times New Roman" w:cs="Times New Roman"/>
          <w:sz w:val="24"/>
          <w:szCs w:val="24"/>
        </w:rPr>
        <w:t xml:space="preserve"> the test laid down in case </w:t>
      </w:r>
      <w:proofErr w:type="spellStart"/>
      <w:r w:rsidR="00E26602" w:rsidRPr="00E26602">
        <w:rPr>
          <w:rFonts w:ascii="Times New Roman" w:eastAsia="Times New Roman" w:hAnsi="Times New Roman" w:cs="Times New Roman"/>
          <w:i/>
          <w:sz w:val="24"/>
          <w:szCs w:val="24"/>
        </w:rPr>
        <w:t>Aranyosi</w:t>
      </w:r>
      <w:proofErr w:type="spellEnd"/>
      <w:r w:rsidR="00E26602" w:rsidRPr="00E26602">
        <w:rPr>
          <w:rFonts w:ascii="Times New Roman" w:eastAsia="Times New Roman" w:hAnsi="Times New Roman" w:cs="Times New Roman"/>
          <w:i/>
          <w:sz w:val="24"/>
          <w:szCs w:val="24"/>
        </w:rPr>
        <w:t xml:space="preserve"> and </w:t>
      </w:r>
      <w:proofErr w:type="spellStart"/>
      <w:r w:rsidR="00E26602" w:rsidRPr="00E26602">
        <w:rPr>
          <w:rFonts w:ascii="Times New Roman" w:eastAsia="Times New Roman" w:hAnsi="Times New Roman" w:cs="Times New Roman"/>
          <w:i/>
          <w:sz w:val="24"/>
          <w:szCs w:val="24"/>
        </w:rPr>
        <w:t>Căldăraru</w:t>
      </w:r>
      <w:proofErr w:type="spellEnd"/>
      <w:r w:rsidR="00E26602">
        <w:rPr>
          <w:rFonts w:ascii="Times New Roman" w:eastAsia="Times New Roman" w:hAnsi="Times New Roman" w:cs="Times New Roman"/>
          <w:i/>
          <w:sz w:val="24"/>
          <w:szCs w:val="24"/>
        </w:rPr>
        <w:t xml:space="preserve">. </w:t>
      </w:r>
      <w:r w:rsidR="00721E6F">
        <w:rPr>
          <w:rFonts w:ascii="Times New Roman" w:eastAsia="Times New Roman" w:hAnsi="Times New Roman" w:cs="Times New Roman"/>
          <w:sz w:val="24"/>
          <w:szCs w:val="24"/>
        </w:rPr>
        <w:t>In a nutshell, the executing judicial authority must make its assessment based on information that is “objective, reliable, specific and properly updated”.</w:t>
      </w:r>
      <w:r w:rsidR="00721E6F">
        <w:rPr>
          <w:rStyle w:val="FootnoteReference"/>
          <w:rFonts w:ascii="Times New Roman" w:eastAsia="Times New Roman" w:hAnsi="Times New Roman" w:cs="Times New Roman"/>
          <w:sz w:val="24"/>
          <w:szCs w:val="24"/>
        </w:rPr>
        <w:footnoteReference w:id="79"/>
      </w:r>
      <w:r w:rsidR="00721E6F">
        <w:rPr>
          <w:rFonts w:ascii="Times New Roman" w:eastAsia="Times New Roman" w:hAnsi="Times New Roman" w:cs="Times New Roman"/>
          <w:sz w:val="24"/>
          <w:szCs w:val="24"/>
        </w:rPr>
        <w:t xml:space="preserve"> The Court of Justice </w:t>
      </w:r>
      <w:r w:rsidR="00D41D79">
        <w:rPr>
          <w:rFonts w:ascii="Times New Roman" w:eastAsia="Times New Roman" w:hAnsi="Times New Roman" w:cs="Times New Roman"/>
          <w:sz w:val="24"/>
          <w:szCs w:val="24"/>
        </w:rPr>
        <w:t>has indicated</w:t>
      </w:r>
      <w:r w:rsidR="00721E6F">
        <w:rPr>
          <w:rFonts w:ascii="Times New Roman" w:eastAsia="Times New Roman" w:hAnsi="Times New Roman" w:cs="Times New Roman"/>
          <w:sz w:val="24"/>
          <w:szCs w:val="24"/>
        </w:rPr>
        <w:t xml:space="preserve"> that the material provided by the European Commission in its</w:t>
      </w:r>
      <w:r w:rsidR="002501EA">
        <w:rPr>
          <w:rFonts w:ascii="Times New Roman" w:eastAsia="Times New Roman" w:hAnsi="Times New Roman" w:cs="Times New Roman"/>
          <w:sz w:val="24"/>
          <w:szCs w:val="24"/>
        </w:rPr>
        <w:t xml:space="preserve"> reasoned proposal based on Article 7(1) TEU. Although this is not mentioned by the Court, one should assume that reports of other bodies could be taken into account as well. This would include, for instance, reports of the Venice Commission, which operates under the auspices of the Council of Europe.</w:t>
      </w:r>
      <w:r w:rsidR="00FF0039">
        <w:rPr>
          <w:rStyle w:val="FootnoteReference"/>
          <w:rFonts w:ascii="Times New Roman" w:eastAsia="Times New Roman" w:hAnsi="Times New Roman" w:cs="Times New Roman"/>
          <w:sz w:val="24"/>
          <w:szCs w:val="24"/>
        </w:rPr>
        <w:footnoteReference w:id="80"/>
      </w:r>
      <w:r w:rsidR="002501EA">
        <w:rPr>
          <w:rFonts w:ascii="Times New Roman" w:eastAsia="Times New Roman" w:hAnsi="Times New Roman" w:cs="Times New Roman"/>
          <w:sz w:val="24"/>
          <w:szCs w:val="24"/>
        </w:rPr>
        <w:t xml:space="preserve"> </w:t>
      </w:r>
      <w:r w:rsidR="00D55685" w:rsidRPr="00560A99">
        <w:rPr>
          <w:rFonts w:ascii="Times New Roman" w:eastAsia="Times New Roman" w:hAnsi="Times New Roman" w:cs="Times New Roman"/>
          <w:i/>
          <w:sz w:val="24"/>
          <w:szCs w:val="24"/>
        </w:rPr>
        <w:t>Prima facie</w:t>
      </w:r>
      <w:r w:rsidR="00D55685">
        <w:rPr>
          <w:rFonts w:ascii="Times New Roman" w:eastAsia="Times New Roman" w:hAnsi="Times New Roman" w:cs="Times New Roman"/>
          <w:sz w:val="24"/>
          <w:szCs w:val="24"/>
        </w:rPr>
        <w:t xml:space="preserve">, </w:t>
      </w:r>
      <w:r w:rsidR="00560A99">
        <w:rPr>
          <w:rFonts w:ascii="Times New Roman" w:eastAsia="Times New Roman" w:hAnsi="Times New Roman" w:cs="Times New Roman"/>
          <w:sz w:val="24"/>
          <w:szCs w:val="24"/>
        </w:rPr>
        <w:t>the Courts’ conclusion is sound, yet, it does not take into account the “whom to trust” dilemma. Not surprisingly, the reports of the Venice Commission as well as the reasoned proposal of the European Commission have been discredited by the Polish authorities</w:t>
      </w:r>
      <w:r w:rsidR="00674112">
        <w:rPr>
          <w:rFonts w:ascii="Times New Roman" w:eastAsia="Times New Roman" w:hAnsi="Times New Roman" w:cs="Times New Roman"/>
          <w:sz w:val="24"/>
          <w:szCs w:val="24"/>
        </w:rPr>
        <w:t>,</w:t>
      </w:r>
      <w:r w:rsidR="00F6301D">
        <w:rPr>
          <w:rFonts w:ascii="Times New Roman" w:eastAsia="Times New Roman" w:hAnsi="Times New Roman" w:cs="Times New Roman"/>
          <w:sz w:val="24"/>
          <w:szCs w:val="24"/>
        </w:rPr>
        <w:t xml:space="preserve"> which prefer and promote an alternative understanding of </w:t>
      </w:r>
      <w:r w:rsidR="00933209">
        <w:rPr>
          <w:rFonts w:ascii="Times New Roman" w:eastAsia="Times New Roman" w:hAnsi="Times New Roman" w:cs="Times New Roman"/>
          <w:sz w:val="24"/>
          <w:szCs w:val="24"/>
        </w:rPr>
        <w:t xml:space="preserve">independence of judiciary and the rule of law. </w:t>
      </w:r>
      <w:r w:rsidR="00D60902">
        <w:rPr>
          <w:rFonts w:ascii="Times New Roman" w:eastAsia="Times New Roman" w:hAnsi="Times New Roman" w:cs="Times New Roman"/>
          <w:sz w:val="24"/>
          <w:szCs w:val="24"/>
        </w:rPr>
        <w:t xml:space="preserve">The question is whether this in itself may lead to confusion </w:t>
      </w:r>
      <w:r w:rsidR="00FF0039">
        <w:rPr>
          <w:rFonts w:ascii="Times New Roman" w:eastAsia="Times New Roman" w:hAnsi="Times New Roman" w:cs="Times New Roman"/>
          <w:sz w:val="24"/>
          <w:szCs w:val="24"/>
        </w:rPr>
        <w:t xml:space="preserve">among the </w:t>
      </w:r>
      <w:r w:rsidR="00D60902">
        <w:rPr>
          <w:rFonts w:ascii="Times New Roman" w:eastAsia="Times New Roman" w:hAnsi="Times New Roman" w:cs="Times New Roman"/>
          <w:sz w:val="24"/>
          <w:szCs w:val="24"/>
        </w:rPr>
        <w:t>national courts</w:t>
      </w:r>
      <w:r w:rsidR="00FF0039">
        <w:rPr>
          <w:rFonts w:ascii="Times New Roman" w:eastAsia="Times New Roman" w:hAnsi="Times New Roman" w:cs="Times New Roman"/>
          <w:sz w:val="24"/>
          <w:szCs w:val="24"/>
        </w:rPr>
        <w:t xml:space="preserve"> of other Member States</w:t>
      </w:r>
      <w:r w:rsidR="00703EEA">
        <w:rPr>
          <w:rFonts w:ascii="Times New Roman" w:eastAsia="Times New Roman" w:hAnsi="Times New Roman" w:cs="Times New Roman"/>
          <w:sz w:val="24"/>
          <w:szCs w:val="24"/>
        </w:rPr>
        <w:t xml:space="preserve">. Should they </w:t>
      </w:r>
      <w:r w:rsidR="0079620A">
        <w:rPr>
          <w:rFonts w:ascii="Times New Roman" w:eastAsia="Times New Roman" w:hAnsi="Times New Roman" w:cs="Times New Roman"/>
          <w:sz w:val="24"/>
          <w:szCs w:val="24"/>
        </w:rPr>
        <w:t xml:space="preserve">trust face value </w:t>
      </w:r>
      <w:r w:rsidR="007B6093">
        <w:rPr>
          <w:rFonts w:ascii="Times New Roman" w:eastAsia="Times New Roman" w:hAnsi="Times New Roman" w:cs="Times New Roman"/>
          <w:sz w:val="24"/>
          <w:szCs w:val="24"/>
        </w:rPr>
        <w:t>the assessments made by international institutions or the national authorities of a Member State concerned</w:t>
      </w:r>
      <w:r w:rsidR="00D32246">
        <w:rPr>
          <w:rFonts w:ascii="Times New Roman" w:eastAsia="Times New Roman" w:hAnsi="Times New Roman" w:cs="Times New Roman"/>
          <w:sz w:val="24"/>
          <w:szCs w:val="24"/>
        </w:rPr>
        <w:t xml:space="preserve">? </w:t>
      </w:r>
      <w:r w:rsidR="00916FF1">
        <w:rPr>
          <w:rFonts w:ascii="Times New Roman" w:eastAsia="Times New Roman" w:hAnsi="Times New Roman" w:cs="Times New Roman"/>
          <w:sz w:val="24"/>
          <w:szCs w:val="24"/>
        </w:rPr>
        <w:t>The first phase, however, seems to be a relatively easy step to go through</w:t>
      </w:r>
      <w:r w:rsidR="00AF1A0F">
        <w:rPr>
          <w:rFonts w:ascii="Times New Roman" w:eastAsia="Times New Roman" w:hAnsi="Times New Roman" w:cs="Times New Roman"/>
          <w:sz w:val="24"/>
          <w:szCs w:val="24"/>
        </w:rPr>
        <w:t xml:space="preserve"> when one looks further at the second procedural step required by the Court of Justice</w:t>
      </w:r>
      <w:r w:rsidR="00916FF1">
        <w:rPr>
          <w:rFonts w:ascii="Times New Roman" w:eastAsia="Times New Roman" w:hAnsi="Times New Roman" w:cs="Times New Roman"/>
          <w:sz w:val="24"/>
          <w:szCs w:val="24"/>
        </w:rPr>
        <w:t xml:space="preserve">. </w:t>
      </w:r>
      <w:r w:rsidR="00AF1A0F">
        <w:rPr>
          <w:rFonts w:ascii="Times New Roman" w:eastAsia="Times New Roman" w:hAnsi="Times New Roman" w:cs="Times New Roman"/>
          <w:sz w:val="24"/>
          <w:szCs w:val="24"/>
        </w:rPr>
        <w:t>Indeed, p</w:t>
      </w:r>
      <w:r w:rsidR="00916FF1">
        <w:rPr>
          <w:rFonts w:ascii="Times New Roman" w:eastAsia="Times New Roman" w:hAnsi="Times New Roman" w:cs="Times New Roman"/>
          <w:sz w:val="24"/>
          <w:szCs w:val="24"/>
        </w:rPr>
        <w:t xml:space="preserve">articular challenges may arise when the national executing authority proceeds to </w:t>
      </w:r>
      <w:r w:rsidR="0073556A">
        <w:rPr>
          <w:rFonts w:ascii="Times New Roman" w:eastAsia="Times New Roman" w:hAnsi="Times New Roman" w:cs="Times New Roman"/>
          <w:sz w:val="24"/>
          <w:szCs w:val="24"/>
        </w:rPr>
        <w:t xml:space="preserve">engage in dialogue with </w:t>
      </w:r>
      <w:r w:rsidR="00050CAC">
        <w:rPr>
          <w:rFonts w:ascii="Times New Roman" w:eastAsia="Times New Roman" w:hAnsi="Times New Roman" w:cs="Times New Roman"/>
          <w:sz w:val="24"/>
          <w:szCs w:val="24"/>
        </w:rPr>
        <w:t xml:space="preserve">the authorities of the requesting country. </w:t>
      </w:r>
      <w:r w:rsidR="00F33180">
        <w:rPr>
          <w:rFonts w:ascii="Times New Roman" w:eastAsia="Times New Roman" w:hAnsi="Times New Roman" w:cs="Times New Roman"/>
          <w:sz w:val="24"/>
          <w:szCs w:val="24"/>
        </w:rPr>
        <w:t xml:space="preserve">This boils down to a fundamental question whether one can trust an assessment and evidence provided by a national court, which – allegedly – is not independent. </w:t>
      </w:r>
      <w:r w:rsidR="00B10B1B">
        <w:rPr>
          <w:rFonts w:ascii="Times New Roman" w:eastAsia="Times New Roman" w:hAnsi="Times New Roman" w:cs="Times New Roman"/>
          <w:sz w:val="24"/>
          <w:szCs w:val="24"/>
        </w:rPr>
        <w:t>In the case at hand</w:t>
      </w:r>
      <w:r w:rsidR="00A200B5">
        <w:rPr>
          <w:rFonts w:ascii="Times New Roman" w:eastAsia="Times New Roman" w:hAnsi="Times New Roman" w:cs="Times New Roman"/>
          <w:sz w:val="24"/>
          <w:szCs w:val="24"/>
        </w:rPr>
        <w:t>,</w:t>
      </w:r>
      <w:r w:rsidR="00B10B1B">
        <w:rPr>
          <w:rFonts w:ascii="Times New Roman" w:eastAsia="Times New Roman" w:hAnsi="Times New Roman" w:cs="Times New Roman"/>
          <w:sz w:val="24"/>
          <w:szCs w:val="24"/>
        </w:rPr>
        <w:t xml:space="preserve"> the doubts </w:t>
      </w:r>
      <w:r w:rsidR="00660322">
        <w:rPr>
          <w:rFonts w:ascii="Times New Roman" w:eastAsia="Times New Roman" w:hAnsi="Times New Roman" w:cs="Times New Roman"/>
          <w:sz w:val="24"/>
          <w:szCs w:val="24"/>
        </w:rPr>
        <w:t xml:space="preserve">expressed by the Irish High Court </w:t>
      </w:r>
      <w:r w:rsidR="00B10B1B">
        <w:rPr>
          <w:rFonts w:ascii="Times New Roman" w:eastAsia="Times New Roman" w:hAnsi="Times New Roman" w:cs="Times New Roman"/>
          <w:sz w:val="24"/>
          <w:szCs w:val="24"/>
        </w:rPr>
        <w:t xml:space="preserve">were exacerbated by a rather blunt statement courtesy of the Polish Deputy Minister of Justice, who </w:t>
      </w:r>
      <w:r w:rsidR="0024103A">
        <w:rPr>
          <w:rFonts w:ascii="Times New Roman" w:eastAsia="Times New Roman" w:hAnsi="Times New Roman" w:cs="Times New Roman"/>
          <w:sz w:val="24"/>
          <w:szCs w:val="24"/>
        </w:rPr>
        <w:t>acted in breach of presumption of innocence by alluding that the person, who is subject to the European Arrest Warrant</w:t>
      </w:r>
      <w:r w:rsidR="00B34A7F">
        <w:rPr>
          <w:rFonts w:ascii="Times New Roman" w:eastAsia="Times New Roman" w:hAnsi="Times New Roman" w:cs="Times New Roman"/>
          <w:sz w:val="24"/>
          <w:szCs w:val="24"/>
        </w:rPr>
        <w:t>,</w:t>
      </w:r>
      <w:r w:rsidR="0024103A">
        <w:rPr>
          <w:rFonts w:ascii="Times New Roman" w:eastAsia="Times New Roman" w:hAnsi="Times New Roman" w:cs="Times New Roman"/>
          <w:sz w:val="24"/>
          <w:szCs w:val="24"/>
        </w:rPr>
        <w:t xml:space="preserve"> is a criminal.</w:t>
      </w:r>
      <w:r w:rsidR="003D44F5">
        <w:rPr>
          <w:rStyle w:val="FootnoteReference"/>
          <w:rFonts w:ascii="Times New Roman" w:eastAsia="Times New Roman" w:hAnsi="Times New Roman" w:cs="Times New Roman"/>
          <w:sz w:val="24"/>
          <w:szCs w:val="24"/>
        </w:rPr>
        <w:footnoteReference w:id="81"/>
      </w:r>
      <w:r w:rsidR="0024103A">
        <w:rPr>
          <w:rFonts w:ascii="Times New Roman" w:eastAsia="Times New Roman" w:hAnsi="Times New Roman" w:cs="Times New Roman"/>
          <w:sz w:val="24"/>
          <w:szCs w:val="24"/>
        </w:rPr>
        <w:t xml:space="preserve"> </w:t>
      </w:r>
      <w:r w:rsidR="00660322">
        <w:rPr>
          <w:rFonts w:ascii="Times New Roman" w:eastAsia="Times New Roman" w:hAnsi="Times New Roman" w:cs="Times New Roman"/>
          <w:sz w:val="24"/>
          <w:szCs w:val="24"/>
        </w:rPr>
        <w:t xml:space="preserve">This has surely undermined already cracking trust </w:t>
      </w:r>
      <w:r w:rsidR="009551C4">
        <w:rPr>
          <w:rFonts w:ascii="Times New Roman" w:eastAsia="Times New Roman" w:hAnsi="Times New Roman" w:cs="Times New Roman"/>
          <w:sz w:val="24"/>
          <w:szCs w:val="24"/>
        </w:rPr>
        <w:t xml:space="preserve">in the Polish judiciary and its independence. </w:t>
      </w:r>
      <w:r w:rsidR="00FC647D">
        <w:rPr>
          <w:rFonts w:ascii="Times New Roman" w:eastAsia="Times New Roman" w:hAnsi="Times New Roman" w:cs="Times New Roman"/>
          <w:sz w:val="24"/>
          <w:szCs w:val="24"/>
        </w:rPr>
        <w:t xml:space="preserve">In case </w:t>
      </w:r>
      <w:r w:rsidR="00FC647D" w:rsidRPr="00FC647D">
        <w:rPr>
          <w:rFonts w:ascii="Times New Roman" w:eastAsia="Times New Roman" w:hAnsi="Times New Roman" w:cs="Times New Roman"/>
          <w:sz w:val="24"/>
          <w:szCs w:val="24"/>
        </w:rPr>
        <w:t xml:space="preserve">C-216/18PPPU </w:t>
      </w:r>
      <w:r w:rsidR="00FC647D" w:rsidRPr="00FC647D">
        <w:rPr>
          <w:rFonts w:ascii="Times New Roman" w:eastAsia="Times New Roman" w:hAnsi="Times New Roman" w:cs="Times New Roman"/>
          <w:i/>
          <w:sz w:val="24"/>
          <w:szCs w:val="24"/>
        </w:rPr>
        <w:t>LM</w:t>
      </w:r>
      <w:r w:rsidR="00FC647D">
        <w:rPr>
          <w:rFonts w:ascii="Times New Roman" w:eastAsia="Times New Roman" w:hAnsi="Times New Roman" w:cs="Times New Roman"/>
          <w:sz w:val="24"/>
          <w:szCs w:val="24"/>
        </w:rPr>
        <w:t xml:space="preserve"> the Court of Justice concluded that </w:t>
      </w:r>
      <w:r w:rsidR="000F2461">
        <w:rPr>
          <w:rFonts w:ascii="Times New Roman" w:eastAsia="Times New Roman" w:hAnsi="Times New Roman" w:cs="Times New Roman"/>
          <w:sz w:val="24"/>
          <w:szCs w:val="24"/>
        </w:rPr>
        <w:t xml:space="preserve">if doubts of the requested court cannot be discounted it may refuse to surrender a person requested under the European Arrest Warrant. </w:t>
      </w:r>
      <w:r w:rsidR="00E95F9E">
        <w:rPr>
          <w:rFonts w:ascii="Times New Roman" w:eastAsia="Times New Roman" w:hAnsi="Times New Roman" w:cs="Times New Roman"/>
          <w:sz w:val="24"/>
          <w:szCs w:val="24"/>
        </w:rPr>
        <w:t xml:space="preserve">This </w:t>
      </w:r>
      <w:r w:rsidR="00C8118B">
        <w:rPr>
          <w:rFonts w:ascii="Times New Roman" w:eastAsia="Times New Roman" w:hAnsi="Times New Roman" w:cs="Times New Roman"/>
          <w:sz w:val="24"/>
          <w:szCs w:val="24"/>
        </w:rPr>
        <w:t>has to</w:t>
      </w:r>
      <w:r w:rsidR="00E95F9E">
        <w:rPr>
          <w:rFonts w:ascii="Times New Roman" w:eastAsia="Times New Roman" w:hAnsi="Times New Roman" w:cs="Times New Roman"/>
          <w:sz w:val="24"/>
          <w:szCs w:val="24"/>
        </w:rPr>
        <w:t xml:space="preserve"> happen when the executing judicial authority concludes that there is “a real risk that the individual concerned will suffer in the issuing Member State a breach of his fundamental right to an independent tribunal and, therefore, of the essence of his fundamental right to a fair trial”.</w:t>
      </w:r>
      <w:r w:rsidR="00E95F9E">
        <w:rPr>
          <w:rStyle w:val="FootnoteReference"/>
          <w:rFonts w:ascii="Times New Roman" w:eastAsia="Times New Roman" w:hAnsi="Times New Roman" w:cs="Times New Roman"/>
          <w:sz w:val="24"/>
          <w:szCs w:val="24"/>
        </w:rPr>
        <w:footnoteReference w:id="82"/>
      </w:r>
      <w:r w:rsidR="00E95F9E">
        <w:rPr>
          <w:rFonts w:ascii="Times New Roman" w:eastAsia="Times New Roman" w:hAnsi="Times New Roman" w:cs="Times New Roman"/>
          <w:sz w:val="24"/>
          <w:szCs w:val="24"/>
        </w:rPr>
        <w:t xml:space="preserve"> </w:t>
      </w:r>
      <w:r w:rsidR="00C8118B">
        <w:rPr>
          <w:rFonts w:ascii="Times New Roman" w:eastAsia="Times New Roman" w:hAnsi="Times New Roman" w:cs="Times New Roman"/>
          <w:sz w:val="24"/>
          <w:szCs w:val="24"/>
        </w:rPr>
        <w:t xml:space="preserve">In this respect it is interesting to note the </w:t>
      </w:r>
      <w:r w:rsidR="004A743E">
        <w:rPr>
          <w:rFonts w:ascii="Times New Roman" w:eastAsia="Times New Roman" w:hAnsi="Times New Roman" w:cs="Times New Roman"/>
          <w:sz w:val="24"/>
          <w:szCs w:val="24"/>
        </w:rPr>
        <w:t xml:space="preserve">two differences between the discussed judgment and decision of the Court of Justice in </w:t>
      </w:r>
      <w:proofErr w:type="spellStart"/>
      <w:r w:rsidR="004A743E" w:rsidRPr="004A743E">
        <w:rPr>
          <w:rFonts w:ascii="Times New Roman" w:eastAsia="Times New Roman" w:hAnsi="Times New Roman" w:cs="Times New Roman"/>
          <w:i/>
          <w:sz w:val="24"/>
          <w:szCs w:val="24"/>
        </w:rPr>
        <w:t>Aranyosi</w:t>
      </w:r>
      <w:proofErr w:type="spellEnd"/>
      <w:r w:rsidR="004A743E" w:rsidRPr="004A743E">
        <w:rPr>
          <w:rFonts w:ascii="Times New Roman" w:eastAsia="Times New Roman" w:hAnsi="Times New Roman" w:cs="Times New Roman"/>
          <w:i/>
          <w:sz w:val="24"/>
          <w:szCs w:val="24"/>
        </w:rPr>
        <w:t xml:space="preserve"> and </w:t>
      </w:r>
      <w:proofErr w:type="spellStart"/>
      <w:r w:rsidR="004A743E" w:rsidRPr="004A743E">
        <w:rPr>
          <w:rFonts w:ascii="Times New Roman" w:eastAsia="Times New Roman" w:hAnsi="Times New Roman" w:cs="Times New Roman"/>
          <w:i/>
          <w:sz w:val="24"/>
          <w:szCs w:val="24"/>
        </w:rPr>
        <w:t>Căldăraru</w:t>
      </w:r>
      <w:proofErr w:type="spellEnd"/>
      <w:r w:rsidR="004A743E">
        <w:rPr>
          <w:rFonts w:ascii="Times New Roman" w:eastAsia="Times New Roman" w:hAnsi="Times New Roman" w:cs="Times New Roman"/>
          <w:sz w:val="24"/>
          <w:szCs w:val="24"/>
        </w:rPr>
        <w:t xml:space="preserve">. </w:t>
      </w:r>
      <w:r w:rsidR="004019DD">
        <w:rPr>
          <w:rFonts w:ascii="Times New Roman" w:eastAsia="Times New Roman" w:hAnsi="Times New Roman" w:cs="Times New Roman"/>
          <w:sz w:val="24"/>
          <w:szCs w:val="24"/>
        </w:rPr>
        <w:t xml:space="preserve">Firstly, Article 1(3) of the EAW Framework Decision is employed unequivocally as the legal basis for such a decision. Secondly, the Court uses a different language to describe the actions of executing authorities. While in </w:t>
      </w:r>
      <w:proofErr w:type="spellStart"/>
      <w:r w:rsidR="004019DD" w:rsidRPr="00611587">
        <w:rPr>
          <w:rFonts w:ascii="Times New Roman" w:eastAsia="Times New Roman" w:hAnsi="Times New Roman" w:cs="Times New Roman"/>
          <w:i/>
          <w:sz w:val="24"/>
          <w:szCs w:val="24"/>
        </w:rPr>
        <w:t>Aranyosi</w:t>
      </w:r>
      <w:proofErr w:type="spellEnd"/>
      <w:r w:rsidR="004019DD" w:rsidRPr="00611587">
        <w:rPr>
          <w:rFonts w:ascii="Times New Roman" w:eastAsia="Times New Roman" w:hAnsi="Times New Roman" w:cs="Times New Roman"/>
          <w:i/>
          <w:sz w:val="24"/>
          <w:szCs w:val="24"/>
        </w:rPr>
        <w:t xml:space="preserve"> and </w:t>
      </w:r>
      <w:proofErr w:type="spellStart"/>
      <w:r w:rsidR="004019DD" w:rsidRPr="00611587">
        <w:rPr>
          <w:rFonts w:ascii="Times New Roman" w:eastAsia="Times New Roman" w:hAnsi="Times New Roman" w:cs="Times New Roman"/>
          <w:i/>
          <w:sz w:val="24"/>
          <w:szCs w:val="24"/>
        </w:rPr>
        <w:t>Căldăraru</w:t>
      </w:r>
      <w:proofErr w:type="spellEnd"/>
      <w:r w:rsidR="004019DD">
        <w:rPr>
          <w:rFonts w:ascii="Times New Roman" w:eastAsia="Times New Roman" w:hAnsi="Times New Roman" w:cs="Times New Roman"/>
          <w:sz w:val="24"/>
          <w:szCs w:val="24"/>
        </w:rPr>
        <w:t xml:space="preserve"> the Court talks about bring EAW procedure to an end, in the present case</w:t>
      </w:r>
      <w:r w:rsidR="00611587">
        <w:rPr>
          <w:rFonts w:ascii="Times New Roman" w:eastAsia="Times New Roman" w:hAnsi="Times New Roman" w:cs="Times New Roman"/>
          <w:sz w:val="24"/>
          <w:szCs w:val="24"/>
        </w:rPr>
        <w:t xml:space="preserve"> the judges at </w:t>
      </w:r>
      <w:proofErr w:type="spellStart"/>
      <w:r w:rsidR="00611587">
        <w:rPr>
          <w:rFonts w:ascii="Times New Roman" w:eastAsia="Times New Roman" w:hAnsi="Times New Roman" w:cs="Times New Roman"/>
          <w:sz w:val="24"/>
          <w:szCs w:val="24"/>
        </w:rPr>
        <w:t>Kirchberg</w:t>
      </w:r>
      <w:proofErr w:type="spellEnd"/>
      <w:r w:rsidR="00611587">
        <w:rPr>
          <w:rFonts w:ascii="Times New Roman" w:eastAsia="Times New Roman" w:hAnsi="Times New Roman" w:cs="Times New Roman"/>
          <w:sz w:val="24"/>
          <w:szCs w:val="24"/>
        </w:rPr>
        <w:t xml:space="preserve"> have instructed their domestic counterparts to “refrain from giving effect to the European Arrest Warrant”.</w:t>
      </w:r>
      <w:r w:rsidR="00611587">
        <w:rPr>
          <w:rStyle w:val="FootnoteReference"/>
          <w:rFonts w:ascii="Times New Roman" w:eastAsia="Times New Roman" w:hAnsi="Times New Roman" w:cs="Times New Roman"/>
          <w:sz w:val="24"/>
          <w:szCs w:val="24"/>
        </w:rPr>
        <w:footnoteReference w:id="83"/>
      </w:r>
      <w:r w:rsidR="00611587">
        <w:rPr>
          <w:rFonts w:ascii="Times New Roman" w:eastAsia="Times New Roman" w:hAnsi="Times New Roman" w:cs="Times New Roman"/>
          <w:sz w:val="24"/>
          <w:szCs w:val="24"/>
        </w:rPr>
        <w:t xml:space="preserve"> </w:t>
      </w:r>
      <w:r w:rsidR="00FE6A64">
        <w:rPr>
          <w:rFonts w:ascii="Times New Roman" w:eastAsia="Times New Roman" w:hAnsi="Times New Roman" w:cs="Times New Roman"/>
          <w:sz w:val="24"/>
          <w:szCs w:val="24"/>
        </w:rPr>
        <w:t xml:space="preserve">Irrespective of the phraseology, the end result is, however, just the same. </w:t>
      </w:r>
    </w:p>
    <w:p w14:paraId="04B57DDA" w14:textId="77777777" w:rsidR="00A11B0F" w:rsidRDefault="00A11B0F">
      <w:pPr>
        <w:pStyle w:val="Default"/>
        <w:rPr>
          <w:rFonts w:ascii="Times New Roman" w:eastAsia="Times New Roman" w:hAnsi="Times New Roman" w:cs="Times New Roman"/>
          <w:sz w:val="24"/>
          <w:szCs w:val="24"/>
        </w:rPr>
      </w:pPr>
    </w:p>
    <w:p w14:paraId="0C480760" w14:textId="22C4633A" w:rsidR="00F7215A" w:rsidRPr="00F7215A" w:rsidRDefault="00F7215A">
      <w:pPr>
        <w:pStyle w:val="Default"/>
        <w:rPr>
          <w:rFonts w:ascii="Times New Roman" w:eastAsia="Times New Roman" w:hAnsi="Times New Roman" w:cs="Times New Roman"/>
          <w:i/>
          <w:sz w:val="24"/>
          <w:szCs w:val="24"/>
        </w:rPr>
      </w:pPr>
      <w:r w:rsidRPr="00F7215A">
        <w:rPr>
          <w:rFonts w:ascii="Times New Roman" w:eastAsia="Times New Roman" w:hAnsi="Times New Roman" w:cs="Times New Roman"/>
          <w:i/>
          <w:sz w:val="24"/>
          <w:szCs w:val="24"/>
        </w:rPr>
        <w:t>3.4.4. Conclusions</w:t>
      </w:r>
    </w:p>
    <w:p w14:paraId="1A61849F" w14:textId="77777777" w:rsidR="00306DDE" w:rsidRDefault="00306DDE">
      <w:pPr>
        <w:pStyle w:val="Default"/>
        <w:rPr>
          <w:rFonts w:ascii="Times New Roman" w:eastAsia="Times New Roman" w:hAnsi="Times New Roman" w:cs="Times New Roman"/>
          <w:sz w:val="24"/>
          <w:szCs w:val="24"/>
        </w:rPr>
      </w:pPr>
    </w:p>
    <w:p w14:paraId="631F72E2" w14:textId="5AA9A163" w:rsidR="00F7215A" w:rsidRDefault="00A45C43" w:rsidP="003811DF">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w:t>
      </w:r>
      <w:r w:rsidRPr="00F7215A">
        <w:rPr>
          <w:rFonts w:ascii="Times New Roman" w:eastAsia="Times New Roman" w:hAnsi="Times New Roman" w:cs="Times New Roman"/>
          <w:sz w:val="24"/>
          <w:szCs w:val="24"/>
        </w:rPr>
        <w:t xml:space="preserve">C-216/18PPPU </w:t>
      </w:r>
      <w:r w:rsidRPr="007B7336">
        <w:rPr>
          <w:rFonts w:ascii="Times New Roman" w:eastAsia="Times New Roman" w:hAnsi="Times New Roman" w:cs="Times New Roman"/>
          <w:i/>
          <w:sz w:val="24"/>
          <w:szCs w:val="24"/>
        </w:rPr>
        <w:t>LM</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arrived at a crucial time and, not surprisingly, it has triggered a lot of commotion. </w:t>
      </w:r>
      <w:r w:rsidR="00A15615">
        <w:rPr>
          <w:rFonts w:ascii="Times New Roman" w:eastAsia="Times New Roman" w:hAnsi="Times New Roman" w:cs="Times New Roman"/>
          <w:sz w:val="24"/>
          <w:szCs w:val="24"/>
        </w:rPr>
        <w:t xml:space="preserve">From the point of view of principles of mutual trust and mutual recognition it encapsulates well </w:t>
      </w:r>
      <w:r w:rsidR="002629CD">
        <w:rPr>
          <w:rFonts w:ascii="Times New Roman" w:eastAsia="Times New Roman" w:hAnsi="Times New Roman" w:cs="Times New Roman"/>
          <w:sz w:val="24"/>
          <w:szCs w:val="24"/>
        </w:rPr>
        <w:t xml:space="preserve">the evolving legal landscape, which no longer features blind and unconditional trust in judicial systems of other Member States. </w:t>
      </w:r>
      <w:r w:rsidR="00BE4418">
        <w:rPr>
          <w:rFonts w:ascii="Times New Roman" w:eastAsia="Times New Roman" w:hAnsi="Times New Roman" w:cs="Times New Roman"/>
          <w:sz w:val="24"/>
          <w:szCs w:val="24"/>
        </w:rPr>
        <w:t xml:space="preserve">For many national judges it is a welcome development, even though, as academic commentators put it, the case-by-case </w:t>
      </w:r>
      <w:r w:rsidR="00BE4418" w:rsidRPr="008B188A">
        <w:rPr>
          <w:rFonts w:ascii="Times New Roman" w:eastAsia="Times New Roman" w:hAnsi="Times New Roman" w:cs="Times New Roman"/>
          <w:i/>
          <w:sz w:val="24"/>
          <w:szCs w:val="24"/>
        </w:rPr>
        <w:t>modus operandi</w:t>
      </w:r>
      <w:r w:rsidR="00BE4418">
        <w:rPr>
          <w:rFonts w:ascii="Times New Roman" w:eastAsia="Times New Roman" w:hAnsi="Times New Roman" w:cs="Times New Roman"/>
          <w:sz w:val="24"/>
          <w:szCs w:val="24"/>
        </w:rPr>
        <w:t xml:space="preserve"> laid down therein requires passing of “Herculean hurdles”.</w:t>
      </w:r>
      <w:r w:rsidR="00BE4418">
        <w:rPr>
          <w:rStyle w:val="FootnoteReference"/>
          <w:rFonts w:ascii="Times New Roman" w:eastAsia="Times New Roman" w:hAnsi="Times New Roman" w:cs="Times New Roman"/>
          <w:sz w:val="24"/>
          <w:szCs w:val="24"/>
        </w:rPr>
        <w:footnoteReference w:id="84"/>
      </w:r>
      <w:r w:rsidR="00BE4418">
        <w:rPr>
          <w:rFonts w:ascii="Times New Roman" w:eastAsia="Times New Roman" w:hAnsi="Times New Roman" w:cs="Times New Roman"/>
          <w:sz w:val="24"/>
          <w:szCs w:val="24"/>
        </w:rPr>
        <w:t xml:space="preserve"> </w:t>
      </w:r>
      <w:r w:rsidR="00CA204B">
        <w:rPr>
          <w:rFonts w:ascii="Times New Roman" w:eastAsia="Times New Roman" w:hAnsi="Times New Roman" w:cs="Times New Roman"/>
          <w:sz w:val="24"/>
          <w:szCs w:val="24"/>
        </w:rPr>
        <w:t>The High Court of Ireland, which submitted the reference in the present case, eventually ruled on 19 November 2018, that the surrender to Poland should be ordered as, despite systemic and generalised deficiencies in the independence of the Polish judiciary, there was no real risk that the requested person would be exposed to a flagrant denial of its right to fair trial.</w:t>
      </w:r>
      <w:r w:rsidR="004006E4">
        <w:rPr>
          <w:rStyle w:val="FootnoteReference"/>
          <w:rFonts w:ascii="Times New Roman" w:eastAsia="Times New Roman" w:hAnsi="Times New Roman" w:cs="Times New Roman"/>
          <w:sz w:val="24"/>
          <w:szCs w:val="24"/>
        </w:rPr>
        <w:footnoteReference w:id="85"/>
      </w:r>
      <w:r w:rsidR="00CA204B">
        <w:rPr>
          <w:rFonts w:ascii="Times New Roman" w:eastAsia="Times New Roman" w:hAnsi="Times New Roman" w:cs="Times New Roman"/>
          <w:sz w:val="24"/>
          <w:szCs w:val="24"/>
        </w:rPr>
        <w:t xml:space="preserve"> </w:t>
      </w:r>
      <w:r w:rsidR="00B52979">
        <w:rPr>
          <w:rFonts w:ascii="Times New Roman" w:eastAsia="Times New Roman" w:hAnsi="Times New Roman" w:cs="Times New Roman"/>
          <w:sz w:val="24"/>
          <w:szCs w:val="24"/>
        </w:rPr>
        <w:t xml:space="preserve">This, arguably, is one of the first cases and many will follow. The key question is how domestic courts will proceed in the months to come. </w:t>
      </w:r>
      <w:r w:rsidR="008B188A">
        <w:rPr>
          <w:rFonts w:ascii="Times New Roman" w:eastAsia="Times New Roman" w:hAnsi="Times New Roman" w:cs="Times New Roman"/>
          <w:sz w:val="24"/>
          <w:szCs w:val="24"/>
        </w:rPr>
        <w:t>Since general suspension of the European Arrest Warrant system is neither politically possible nor desired</w:t>
      </w:r>
      <w:r w:rsidR="00B52979">
        <w:rPr>
          <w:rFonts w:ascii="Times New Roman" w:eastAsia="Times New Roman" w:hAnsi="Times New Roman" w:cs="Times New Roman"/>
          <w:sz w:val="24"/>
          <w:szCs w:val="24"/>
        </w:rPr>
        <w:t>,</w:t>
      </w:r>
      <w:r w:rsidR="008B188A">
        <w:rPr>
          <w:rFonts w:ascii="Times New Roman" w:eastAsia="Times New Roman" w:hAnsi="Times New Roman" w:cs="Times New Roman"/>
          <w:sz w:val="24"/>
          <w:szCs w:val="24"/>
        </w:rPr>
        <w:t xml:space="preserve"> </w:t>
      </w:r>
      <w:r w:rsidR="00D376B1">
        <w:rPr>
          <w:rFonts w:ascii="Times New Roman" w:eastAsia="Times New Roman" w:hAnsi="Times New Roman" w:cs="Times New Roman"/>
          <w:sz w:val="24"/>
          <w:szCs w:val="24"/>
        </w:rPr>
        <w:t>the burden</w:t>
      </w:r>
      <w:r w:rsidR="00B52979">
        <w:rPr>
          <w:rFonts w:ascii="Times New Roman" w:eastAsia="Times New Roman" w:hAnsi="Times New Roman" w:cs="Times New Roman"/>
          <w:sz w:val="24"/>
          <w:szCs w:val="24"/>
        </w:rPr>
        <w:t xml:space="preserve"> to assess how much trust there is left in the Polish judicial system will remain</w:t>
      </w:r>
      <w:r w:rsidR="00D376B1">
        <w:rPr>
          <w:rFonts w:ascii="Times New Roman" w:eastAsia="Times New Roman" w:hAnsi="Times New Roman" w:cs="Times New Roman"/>
          <w:sz w:val="24"/>
          <w:szCs w:val="24"/>
        </w:rPr>
        <w:t xml:space="preserve"> on the shoulders of national judges. </w:t>
      </w:r>
    </w:p>
    <w:p w14:paraId="0263FD17" w14:textId="77777777" w:rsidR="00F7215A" w:rsidRDefault="00F7215A">
      <w:pPr>
        <w:pStyle w:val="Default"/>
        <w:rPr>
          <w:rFonts w:ascii="Times New Roman" w:eastAsia="Times New Roman" w:hAnsi="Times New Roman" w:cs="Times New Roman"/>
          <w:sz w:val="24"/>
          <w:szCs w:val="24"/>
        </w:rPr>
      </w:pPr>
    </w:p>
    <w:p w14:paraId="55B1AD1D" w14:textId="6CA34C5A" w:rsidR="000A0D6A" w:rsidRPr="009C0090" w:rsidRDefault="000A0D6A">
      <w:pPr>
        <w:pStyle w:val="Default"/>
        <w:rPr>
          <w:rFonts w:ascii="Times New Roman" w:eastAsia="Times New Roman" w:hAnsi="Times New Roman" w:cs="Times New Roman"/>
          <w:b/>
          <w:sz w:val="24"/>
          <w:szCs w:val="24"/>
        </w:rPr>
      </w:pPr>
      <w:r w:rsidRPr="009C0090">
        <w:rPr>
          <w:rFonts w:ascii="Times New Roman" w:eastAsia="Times New Roman" w:hAnsi="Times New Roman" w:cs="Times New Roman"/>
          <w:b/>
          <w:sz w:val="24"/>
          <w:szCs w:val="24"/>
        </w:rPr>
        <w:t xml:space="preserve">3.5. </w:t>
      </w:r>
      <w:r w:rsidR="0073556A">
        <w:rPr>
          <w:rFonts w:ascii="Times New Roman" w:eastAsia="Times New Roman" w:hAnsi="Times New Roman" w:cs="Times New Roman"/>
          <w:b/>
          <w:sz w:val="24"/>
          <w:szCs w:val="24"/>
        </w:rPr>
        <w:t>Mutual trust and mutual recognition at the time of Brexit</w:t>
      </w:r>
    </w:p>
    <w:p w14:paraId="1C4B1C29" w14:textId="48A14A7B" w:rsidR="000A0D6A" w:rsidRPr="007F6455" w:rsidRDefault="004174D4">
      <w:pPr>
        <w:pStyle w:val="Default"/>
        <w:rPr>
          <w:rFonts w:ascii="Times New Roman" w:eastAsia="Times New Roman" w:hAnsi="Times New Roman" w:cs="Times New Roman"/>
          <w:i/>
          <w:sz w:val="24"/>
          <w:szCs w:val="24"/>
        </w:rPr>
      </w:pPr>
      <w:r w:rsidRPr="007F6455">
        <w:rPr>
          <w:rFonts w:ascii="Times New Roman" w:eastAsia="Times New Roman" w:hAnsi="Times New Roman" w:cs="Times New Roman"/>
          <w:i/>
          <w:sz w:val="24"/>
          <w:szCs w:val="24"/>
        </w:rPr>
        <w:t xml:space="preserve">3.5.1. </w:t>
      </w:r>
      <w:r w:rsidR="007F6455" w:rsidRPr="007F6455">
        <w:rPr>
          <w:rFonts w:ascii="Times New Roman" w:eastAsia="Times New Roman" w:hAnsi="Times New Roman" w:cs="Times New Roman"/>
          <w:i/>
          <w:sz w:val="24"/>
          <w:szCs w:val="24"/>
        </w:rPr>
        <w:t>Introduction</w:t>
      </w:r>
    </w:p>
    <w:p w14:paraId="08841695" w14:textId="77777777" w:rsidR="004174D4" w:rsidRDefault="004174D4">
      <w:pPr>
        <w:pStyle w:val="Default"/>
        <w:rPr>
          <w:rFonts w:ascii="Times New Roman" w:eastAsia="Times New Roman" w:hAnsi="Times New Roman" w:cs="Times New Roman"/>
          <w:sz w:val="24"/>
          <w:szCs w:val="24"/>
        </w:rPr>
      </w:pPr>
    </w:p>
    <w:p w14:paraId="4E6302C2" w14:textId="47397A60" w:rsidR="004174D4" w:rsidRDefault="000E6D47" w:rsidP="00186957">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final judgment of this saga deals with </w:t>
      </w:r>
      <w:r w:rsidR="008A7206">
        <w:rPr>
          <w:rFonts w:ascii="Times New Roman" w:eastAsia="Times New Roman" w:hAnsi="Times New Roman" w:cs="Times New Roman"/>
          <w:sz w:val="24"/>
          <w:szCs w:val="24"/>
        </w:rPr>
        <w:t xml:space="preserve">the operation of the principles of mutual trust and mutual recognition at the time of Brexit. </w:t>
      </w:r>
      <w:r w:rsidR="00186957">
        <w:rPr>
          <w:rFonts w:ascii="Times New Roman" w:eastAsia="Times New Roman" w:hAnsi="Times New Roman" w:cs="Times New Roman"/>
          <w:sz w:val="24"/>
          <w:szCs w:val="24"/>
        </w:rPr>
        <w:t xml:space="preserve">As well-known and documented in the academic literature, the UK’s withdrawal from the European Union will have profound legal implications for both, the departing country and the remaining twenty-seven Member States of the European Union. </w:t>
      </w:r>
      <w:r w:rsidR="00F21BEB">
        <w:rPr>
          <w:rFonts w:ascii="Times New Roman" w:eastAsia="Times New Roman" w:hAnsi="Times New Roman" w:cs="Times New Roman"/>
          <w:sz w:val="24"/>
          <w:szCs w:val="24"/>
        </w:rPr>
        <w:t xml:space="preserve">This, of course, </w:t>
      </w:r>
      <w:r w:rsidR="00F17A79">
        <w:rPr>
          <w:rFonts w:ascii="Times New Roman" w:eastAsia="Times New Roman" w:hAnsi="Times New Roman" w:cs="Times New Roman"/>
          <w:sz w:val="24"/>
          <w:szCs w:val="24"/>
        </w:rPr>
        <w:t xml:space="preserve">extends to the Area of Freedom, Security and Justice, even though the United Kingdom has for years benefited from </w:t>
      </w:r>
      <w:r w:rsidR="002013F8">
        <w:rPr>
          <w:rFonts w:ascii="Times New Roman" w:eastAsia="Times New Roman" w:hAnsi="Times New Roman" w:cs="Times New Roman"/>
          <w:sz w:val="24"/>
          <w:szCs w:val="24"/>
        </w:rPr>
        <w:t xml:space="preserve">a variety of </w:t>
      </w:r>
      <w:r w:rsidR="00F17A79">
        <w:rPr>
          <w:rFonts w:ascii="Times New Roman" w:eastAsia="Times New Roman" w:hAnsi="Times New Roman" w:cs="Times New Roman"/>
          <w:sz w:val="24"/>
          <w:szCs w:val="24"/>
        </w:rPr>
        <w:t>opt-outs.</w:t>
      </w:r>
      <w:r w:rsidR="00211CA2">
        <w:rPr>
          <w:rStyle w:val="FootnoteReference"/>
          <w:rFonts w:ascii="Times New Roman" w:eastAsia="Times New Roman" w:hAnsi="Times New Roman" w:cs="Times New Roman"/>
          <w:sz w:val="24"/>
          <w:szCs w:val="24"/>
        </w:rPr>
        <w:footnoteReference w:id="86"/>
      </w:r>
      <w:r w:rsidR="00F17A79">
        <w:rPr>
          <w:rFonts w:ascii="Times New Roman" w:eastAsia="Times New Roman" w:hAnsi="Times New Roman" w:cs="Times New Roman"/>
          <w:sz w:val="24"/>
          <w:szCs w:val="24"/>
        </w:rPr>
        <w:t xml:space="preserve"> </w:t>
      </w:r>
      <w:r w:rsidR="008416DB">
        <w:rPr>
          <w:rFonts w:ascii="Times New Roman" w:eastAsia="Times New Roman" w:hAnsi="Times New Roman" w:cs="Times New Roman"/>
          <w:sz w:val="24"/>
          <w:szCs w:val="24"/>
        </w:rPr>
        <w:t>Not surprisingly the uncertainties surrounding the withdrawal itself</w:t>
      </w:r>
      <w:r w:rsidR="006667F2">
        <w:rPr>
          <w:rFonts w:ascii="Times New Roman" w:eastAsia="Times New Roman" w:hAnsi="Times New Roman" w:cs="Times New Roman"/>
          <w:sz w:val="24"/>
          <w:szCs w:val="24"/>
        </w:rPr>
        <w:t>,</w:t>
      </w:r>
      <w:r w:rsidR="008416DB">
        <w:rPr>
          <w:rFonts w:ascii="Times New Roman" w:eastAsia="Times New Roman" w:hAnsi="Times New Roman" w:cs="Times New Roman"/>
          <w:sz w:val="24"/>
          <w:szCs w:val="24"/>
        </w:rPr>
        <w:t xml:space="preserve"> as well as </w:t>
      </w:r>
      <w:r w:rsidR="00D21BDB">
        <w:rPr>
          <w:rFonts w:ascii="Times New Roman" w:eastAsia="Times New Roman" w:hAnsi="Times New Roman" w:cs="Times New Roman"/>
          <w:sz w:val="24"/>
          <w:szCs w:val="24"/>
        </w:rPr>
        <w:t xml:space="preserve">the shape of </w:t>
      </w:r>
      <w:r w:rsidR="008416DB">
        <w:rPr>
          <w:rFonts w:ascii="Times New Roman" w:eastAsia="Times New Roman" w:hAnsi="Times New Roman" w:cs="Times New Roman"/>
          <w:sz w:val="24"/>
          <w:szCs w:val="24"/>
        </w:rPr>
        <w:t>post-Brexit relations between the EU and the UK</w:t>
      </w:r>
      <w:r w:rsidR="006667F2">
        <w:rPr>
          <w:rFonts w:ascii="Times New Roman" w:eastAsia="Times New Roman" w:hAnsi="Times New Roman" w:cs="Times New Roman"/>
          <w:sz w:val="24"/>
          <w:szCs w:val="24"/>
        </w:rPr>
        <w:t>,</w:t>
      </w:r>
      <w:r w:rsidR="008416DB">
        <w:rPr>
          <w:rFonts w:ascii="Times New Roman" w:eastAsia="Times New Roman" w:hAnsi="Times New Roman" w:cs="Times New Roman"/>
          <w:sz w:val="24"/>
          <w:szCs w:val="24"/>
        </w:rPr>
        <w:t xml:space="preserve"> have triggered doubts of national judges</w:t>
      </w:r>
      <w:r w:rsidR="00523E0B">
        <w:rPr>
          <w:rFonts w:ascii="Times New Roman" w:eastAsia="Times New Roman" w:hAnsi="Times New Roman" w:cs="Times New Roman"/>
          <w:sz w:val="24"/>
          <w:szCs w:val="24"/>
        </w:rPr>
        <w:t xml:space="preserve"> dealing with the European Arrest Warrants and other mutual recognition instruments. </w:t>
      </w:r>
      <w:r w:rsidR="006855A1">
        <w:rPr>
          <w:rFonts w:ascii="Times New Roman" w:eastAsia="Times New Roman" w:hAnsi="Times New Roman" w:cs="Times New Roman"/>
          <w:sz w:val="24"/>
          <w:szCs w:val="24"/>
        </w:rPr>
        <w:t xml:space="preserve">This eventually led to </w:t>
      </w:r>
      <w:r w:rsidR="009C50B1">
        <w:rPr>
          <w:rFonts w:ascii="Times New Roman" w:eastAsia="Times New Roman" w:hAnsi="Times New Roman" w:cs="Times New Roman"/>
          <w:sz w:val="24"/>
          <w:szCs w:val="24"/>
        </w:rPr>
        <w:t>the</w:t>
      </w:r>
      <w:r w:rsidR="006855A1">
        <w:rPr>
          <w:rFonts w:ascii="Times New Roman" w:eastAsia="Times New Roman" w:hAnsi="Times New Roman" w:cs="Times New Roman"/>
          <w:sz w:val="24"/>
          <w:szCs w:val="24"/>
        </w:rPr>
        <w:t xml:space="preserve"> reference for preliminary ruling from the Irish High Court and, consequentially, </w:t>
      </w:r>
      <w:r w:rsidR="009C50B1">
        <w:rPr>
          <w:rFonts w:ascii="Times New Roman" w:eastAsia="Times New Roman" w:hAnsi="Times New Roman" w:cs="Times New Roman"/>
          <w:sz w:val="24"/>
          <w:szCs w:val="24"/>
        </w:rPr>
        <w:t xml:space="preserve">to </w:t>
      </w:r>
      <w:r w:rsidR="006855A1">
        <w:rPr>
          <w:rFonts w:ascii="Times New Roman" w:eastAsia="Times New Roman" w:hAnsi="Times New Roman" w:cs="Times New Roman"/>
          <w:sz w:val="24"/>
          <w:szCs w:val="24"/>
        </w:rPr>
        <w:t xml:space="preserve">the judgment of the Court of Justice in case C-327/18PPU </w:t>
      </w:r>
      <w:r w:rsidR="006855A1" w:rsidRPr="006855A1">
        <w:rPr>
          <w:rFonts w:ascii="Times New Roman" w:eastAsia="Times New Roman" w:hAnsi="Times New Roman" w:cs="Times New Roman"/>
          <w:i/>
          <w:sz w:val="24"/>
          <w:szCs w:val="24"/>
        </w:rPr>
        <w:t>RO</w:t>
      </w:r>
      <w:r w:rsidR="006855A1">
        <w:rPr>
          <w:rFonts w:ascii="Times New Roman" w:eastAsia="Times New Roman" w:hAnsi="Times New Roman" w:cs="Times New Roman"/>
          <w:sz w:val="24"/>
          <w:szCs w:val="24"/>
        </w:rPr>
        <w:t xml:space="preserve">. </w:t>
      </w:r>
    </w:p>
    <w:p w14:paraId="46FD32BE" w14:textId="7A907165" w:rsidR="000E6D47" w:rsidRDefault="000E6D47">
      <w:pPr>
        <w:pStyle w:val="Default"/>
        <w:rPr>
          <w:rFonts w:ascii="Times New Roman" w:eastAsia="Times New Roman" w:hAnsi="Times New Roman" w:cs="Times New Roman"/>
          <w:sz w:val="24"/>
          <w:szCs w:val="24"/>
        </w:rPr>
      </w:pPr>
    </w:p>
    <w:p w14:paraId="125B2FBF" w14:textId="71A866DF" w:rsidR="000E6D47" w:rsidRPr="00E20290" w:rsidRDefault="004C3772" w:rsidP="00E20290">
      <w:pPr>
        <w:pStyle w:val="Default"/>
        <w:jc w:val="both"/>
        <w:rPr>
          <w:rFonts w:ascii="Times New Roman" w:eastAsia="Times New Roman" w:hAnsi="Times New Roman" w:cs="Times New Roman"/>
          <w:i/>
          <w:sz w:val="24"/>
          <w:szCs w:val="24"/>
        </w:rPr>
      </w:pPr>
      <w:r w:rsidRPr="00E20290">
        <w:rPr>
          <w:rFonts w:ascii="Times New Roman" w:eastAsia="Times New Roman" w:hAnsi="Times New Roman" w:cs="Times New Roman"/>
          <w:i/>
          <w:sz w:val="24"/>
          <w:szCs w:val="24"/>
        </w:rPr>
        <w:t xml:space="preserve">3.5.1. </w:t>
      </w:r>
      <w:r w:rsidR="00E20290" w:rsidRPr="00E20290">
        <w:rPr>
          <w:rFonts w:ascii="Times New Roman" w:eastAsia="Times New Roman" w:hAnsi="Times New Roman" w:cs="Times New Roman"/>
          <w:i/>
          <w:sz w:val="24"/>
          <w:szCs w:val="24"/>
        </w:rPr>
        <w:t>Does Brexit undermine mutual trust?</w:t>
      </w:r>
    </w:p>
    <w:p w14:paraId="15F19E4A" w14:textId="749A29EF" w:rsidR="004C3772" w:rsidRDefault="004C3772">
      <w:pPr>
        <w:pStyle w:val="Default"/>
        <w:rPr>
          <w:rFonts w:ascii="Times New Roman" w:eastAsia="Times New Roman" w:hAnsi="Times New Roman" w:cs="Times New Roman"/>
          <w:sz w:val="24"/>
          <w:szCs w:val="24"/>
        </w:rPr>
      </w:pPr>
    </w:p>
    <w:p w14:paraId="59479FC6" w14:textId="18C46BF0" w:rsidR="006E608E" w:rsidRDefault="006E31DB" w:rsidP="006E31DB">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title of the present section suggests, the key question that the Court of Justice had been asked to answer is whether pending withdrawal of the United Kingdom from the European Union undermines the principle of mutual trust and, </w:t>
      </w:r>
      <w:r w:rsidR="00342C43">
        <w:rPr>
          <w:rFonts w:ascii="Times New Roman" w:eastAsia="Times New Roman" w:hAnsi="Times New Roman" w:cs="Times New Roman"/>
          <w:sz w:val="24"/>
          <w:szCs w:val="24"/>
        </w:rPr>
        <w:t xml:space="preserve">as a result, also the mutual recognition underpinning the judicial co-operation in criminal matters. </w:t>
      </w:r>
      <w:r w:rsidR="00142164">
        <w:rPr>
          <w:rFonts w:ascii="Times New Roman" w:eastAsia="Times New Roman" w:hAnsi="Times New Roman" w:cs="Times New Roman"/>
          <w:sz w:val="24"/>
          <w:szCs w:val="24"/>
        </w:rPr>
        <w:t xml:space="preserve">In a nutshell, the judges at </w:t>
      </w:r>
      <w:proofErr w:type="spellStart"/>
      <w:r w:rsidR="00142164">
        <w:rPr>
          <w:rFonts w:ascii="Times New Roman" w:eastAsia="Times New Roman" w:hAnsi="Times New Roman" w:cs="Times New Roman"/>
          <w:sz w:val="24"/>
          <w:szCs w:val="24"/>
        </w:rPr>
        <w:t>Kirchberg</w:t>
      </w:r>
      <w:proofErr w:type="spellEnd"/>
      <w:r w:rsidR="00142164">
        <w:rPr>
          <w:rFonts w:ascii="Times New Roman" w:eastAsia="Times New Roman" w:hAnsi="Times New Roman" w:cs="Times New Roman"/>
          <w:sz w:val="24"/>
          <w:szCs w:val="24"/>
        </w:rPr>
        <w:t xml:space="preserve"> answered in the negative. To put it differently, as long as a Member State remains in the European Union - even having triggered the withdrawal procedure – it is business as usual. </w:t>
      </w:r>
      <w:r w:rsidR="000276EA">
        <w:rPr>
          <w:rFonts w:ascii="Times New Roman" w:eastAsia="Times New Roman" w:hAnsi="Times New Roman" w:cs="Times New Roman"/>
          <w:sz w:val="24"/>
          <w:szCs w:val="24"/>
        </w:rPr>
        <w:t>As the Court put it:</w:t>
      </w:r>
    </w:p>
    <w:p w14:paraId="321D8C7B" w14:textId="77777777" w:rsidR="000276EA" w:rsidRDefault="000276EA" w:rsidP="000276EA">
      <w:pPr>
        <w:pStyle w:val="Default"/>
        <w:ind w:left="1134"/>
        <w:jc w:val="both"/>
        <w:rPr>
          <w:rFonts w:ascii="Times New Roman" w:eastAsia="Times New Roman" w:hAnsi="Times New Roman" w:cs="Times New Roman"/>
          <w:sz w:val="20"/>
          <w:szCs w:val="20"/>
        </w:rPr>
      </w:pPr>
    </w:p>
    <w:p w14:paraId="426D859E" w14:textId="10D4C55C" w:rsidR="000276EA" w:rsidRPr="000276EA" w:rsidRDefault="000276EA" w:rsidP="005C1C5E">
      <w:pPr>
        <w:pStyle w:val="Default"/>
        <w:ind w:left="1134" w:right="1133"/>
        <w:jc w:val="both"/>
        <w:rPr>
          <w:rFonts w:ascii="Times New Roman" w:eastAsia="Times New Roman" w:hAnsi="Times New Roman" w:cs="Times New Roman"/>
          <w:sz w:val="20"/>
          <w:szCs w:val="20"/>
        </w:rPr>
      </w:pPr>
      <w:r w:rsidRPr="000276EA">
        <w:rPr>
          <w:rFonts w:ascii="Times New Roman" w:eastAsia="Times New Roman" w:hAnsi="Times New Roman" w:cs="Times New Roman"/>
          <w:sz w:val="20"/>
          <w:szCs w:val="20"/>
        </w:rPr>
        <w:t>“</w:t>
      </w:r>
      <w:r w:rsidR="005C1C5E" w:rsidRPr="005C1C5E">
        <w:rPr>
          <w:rFonts w:ascii="Times New Roman" w:eastAsia="Times New Roman" w:hAnsi="Times New Roman" w:cs="Times New Roman"/>
          <w:sz w:val="20"/>
          <w:szCs w:val="20"/>
        </w:rPr>
        <w:t>it must be observed that such a notification does not have the effect of suspending the application of EU law in the Member State that has given notice of its intention to withdraw from the European Union and, consequently, EU law, which encompasses the provisions of the Framework Decision and the principles of mutual trust and mutual recognition inherent in that decision, continues in full force and effect in that State until the time of its actual withdrawal from the European Union.</w:t>
      </w:r>
      <w:r w:rsidR="005C1C5E">
        <w:rPr>
          <w:rFonts w:ascii="Times New Roman" w:eastAsia="Times New Roman" w:hAnsi="Times New Roman" w:cs="Times New Roman"/>
          <w:sz w:val="20"/>
          <w:szCs w:val="20"/>
        </w:rPr>
        <w:t>”</w:t>
      </w:r>
      <w:r w:rsidR="005C1C5E">
        <w:rPr>
          <w:rStyle w:val="FootnoteReference"/>
          <w:rFonts w:ascii="Times New Roman" w:eastAsia="Times New Roman" w:hAnsi="Times New Roman" w:cs="Times New Roman"/>
          <w:sz w:val="20"/>
          <w:szCs w:val="20"/>
        </w:rPr>
        <w:footnoteReference w:id="87"/>
      </w:r>
    </w:p>
    <w:p w14:paraId="63138995" w14:textId="0B725EBA" w:rsidR="006E608E" w:rsidRDefault="006E608E">
      <w:pPr>
        <w:pStyle w:val="Default"/>
        <w:rPr>
          <w:rFonts w:ascii="Times New Roman" w:eastAsia="Times New Roman" w:hAnsi="Times New Roman" w:cs="Times New Roman"/>
          <w:sz w:val="24"/>
          <w:szCs w:val="24"/>
        </w:rPr>
      </w:pPr>
    </w:p>
    <w:p w14:paraId="3DA8B706" w14:textId="69770C01" w:rsidR="005C1C5E" w:rsidRDefault="005567EC" w:rsidP="00BE483A">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judges agreed with the Advocate General </w:t>
      </w:r>
      <w:proofErr w:type="spellStart"/>
      <w:r>
        <w:rPr>
          <w:rFonts w:ascii="Times New Roman" w:eastAsia="Times New Roman" w:hAnsi="Times New Roman" w:cs="Times New Roman"/>
          <w:sz w:val="24"/>
          <w:szCs w:val="24"/>
        </w:rPr>
        <w:t>Szpunar</w:t>
      </w:r>
      <w:proofErr w:type="spellEnd"/>
      <w:r>
        <w:rPr>
          <w:rFonts w:ascii="Times New Roman" w:eastAsia="Times New Roman" w:hAnsi="Times New Roman" w:cs="Times New Roman"/>
          <w:sz w:val="24"/>
          <w:szCs w:val="24"/>
        </w:rPr>
        <w:t xml:space="preserve"> that to rule to the contrary would amount to </w:t>
      </w:r>
      <w:r w:rsidR="00BE483A">
        <w:rPr>
          <w:rFonts w:ascii="Times New Roman" w:eastAsia="Times New Roman" w:hAnsi="Times New Roman" w:cs="Times New Roman"/>
          <w:sz w:val="24"/>
          <w:szCs w:val="24"/>
        </w:rPr>
        <w:t xml:space="preserve">unilateral suspension of the EAW Framework Decision and, at the same time, it would be in breach of its recital 10, which permits only for suspension taken in the context of Article 7 TEU proceedings. </w:t>
      </w:r>
      <w:r w:rsidR="00446002">
        <w:rPr>
          <w:rFonts w:ascii="Times New Roman" w:eastAsia="Times New Roman" w:hAnsi="Times New Roman" w:cs="Times New Roman"/>
          <w:sz w:val="24"/>
          <w:szCs w:val="24"/>
        </w:rPr>
        <w:t xml:space="preserve">So, to cut a long story short, the notification of intention to withdraw from the European Union does not </w:t>
      </w:r>
      <w:r w:rsidR="000C22E8" w:rsidRPr="00B65AA6">
        <w:rPr>
          <w:rFonts w:ascii="Times New Roman" w:eastAsia="Times New Roman" w:hAnsi="Times New Roman" w:cs="Times New Roman"/>
          <w:i/>
          <w:sz w:val="24"/>
          <w:szCs w:val="24"/>
        </w:rPr>
        <w:t>per se</w:t>
      </w:r>
      <w:r w:rsidR="000C22E8">
        <w:rPr>
          <w:rFonts w:ascii="Times New Roman" w:eastAsia="Times New Roman" w:hAnsi="Times New Roman" w:cs="Times New Roman"/>
          <w:sz w:val="24"/>
          <w:szCs w:val="24"/>
        </w:rPr>
        <w:t xml:space="preserve"> constitute a circumstance justifying refusal to surrender under the EAW procedural apparatus. </w:t>
      </w:r>
      <w:r w:rsidR="00B65AA6">
        <w:rPr>
          <w:rFonts w:ascii="Times New Roman" w:eastAsia="Times New Roman" w:hAnsi="Times New Roman" w:cs="Times New Roman"/>
          <w:sz w:val="24"/>
          <w:szCs w:val="24"/>
        </w:rPr>
        <w:t xml:space="preserve">Yet, as the Court of Justice made clear, it does not de-activate the obligations resting on the shoulders of national judges as per </w:t>
      </w:r>
      <w:proofErr w:type="spellStart"/>
      <w:r w:rsidR="00B65AA6" w:rsidRPr="00B65AA6">
        <w:rPr>
          <w:rFonts w:ascii="Times New Roman" w:eastAsia="Times New Roman" w:hAnsi="Times New Roman" w:cs="Times New Roman"/>
          <w:i/>
          <w:sz w:val="24"/>
          <w:szCs w:val="24"/>
        </w:rPr>
        <w:t>Aranyosi</w:t>
      </w:r>
      <w:proofErr w:type="spellEnd"/>
      <w:r w:rsidR="00B65AA6" w:rsidRPr="00B65AA6">
        <w:rPr>
          <w:rFonts w:ascii="Times New Roman" w:eastAsia="Times New Roman" w:hAnsi="Times New Roman" w:cs="Times New Roman"/>
          <w:i/>
          <w:sz w:val="24"/>
          <w:szCs w:val="24"/>
        </w:rPr>
        <w:t xml:space="preserve"> and </w:t>
      </w:r>
      <w:proofErr w:type="spellStart"/>
      <w:r w:rsidR="00B65AA6" w:rsidRPr="00B65AA6">
        <w:rPr>
          <w:rFonts w:ascii="Times New Roman" w:eastAsia="Times New Roman" w:hAnsi="Times New Roman" w:cs="Times New Roman"/>
          <w:i/>
          <w:sz w:val="24"/>
          <w:szCs w:val="24"/>
        </w:rPr>
        <w:t>Căldăraru</w:t>
      </w:r>
      <w:proofErr w:type="spellEnd"/>
      <w:r w:rsidR="00B65AA6">
        <w:rPr>
          <w:rFonts w:ascii="Times New Roman" w:eastAsia="Times New Roman" w:hAnsi="Times New Roman" w:cs="Times New Roman"/>
          <w:sz w:val="24"/>
          <w:szCs w:val="24"/>
        </w:rPr>
        <w:t xml:space="preserve"> ruling. </w:t>
      </w:r>
      <w:r w:rsidR="004469F1">
        <w:rPr>
          <w:rFonts w:ascii="Times New Roman" w:eastAsia="Times New Roman" w:hAnsi="Times New Roman" w:cs="Times New Roman"/>
          <w:sz w:val="24"/>
          <w:szCs w:val="24"/>
        </w:rPr>
        <w:t>In order to discount the doubts of the referring court and, presumably, also other executing authorities, even when Article 4 of the Charter ceases to apply to the United Kingdom on the date of withdrawal, it will be still bound by the ECHR</w:t>
      </w:r>
      <w:r w:rsidR="00B5450A">
        <w:rPr>
          <w:rFonts w:ascii="Times New Roman" w:eastAsia="Times New Roman" w:hAnsi="Times New Roman" w:cs="Times New Roman"/>
          <w:sz w:val="24"/>
          <w:szCs w:val="24"/>
        </w:rPr>
        <w:t xml:space="preserve">, in particular its Article 3, which also prohibits inhuman and degrading treatment. In equal measure the Court of Justice attempted to discount the </w:t>
      </w:r>
      <w:r w:rsidR="00A96854">
        <w:rPr>
          <w:rFonts w:ascii="Times New Roman" w:eastAsia="Times New Roman" w:hAnsi="Times New Roman" w:cs="Times New Roman"/>
          <w:sz w:val="24"/>
          <w:szCs w:val="24"/>
        </w:rPr>
        <w:t>trepidation of the referring court as regards</w:t>
      </w:r>
      <w:r w:rsidR="006245BB">
        <w:rPr>
          <w:rFonts w:ascii="Times New Roman" w:eastAsia="Times New Roman" w:hAnsi="Times New Roman" w:cs="Times New Roman"/>
          <w:sz w:val="24"/>
          <w:szCs w:val="24"/>
        </w:rPr>
        <w:t xml:space="preserve"> a continuous application of the principle of specialty.</w:t>
      </w:r>
    </w:p>
    <w:p w14:paraId="207B7F3B" w14:textId="77777777" w:rsidR="006E608E" w:rsidRDefault="006E608E">
      <w:pPr>
        <w:pStyle w:val="Default"/>
        <w:rPr>
          <w:rFonts w:ascii="Times New Roman" w:eastAsia="Times New Roman" w:hAnsi="Times New Roman" w:cs="Times New Roman"/>
          <w:sz w:val="24"/>
          <w:szCs w:val="24"/>
        </w:rPr>
      </w:pPr>
    </w:p>
    <w:p w14:paraId="7BCACBEC" w14:textId="009C05A3" w:rsidR="004C3772" w:rsidRPr="006245BB" w:rsidRDefault="00E20290">
      <w:pPr>
        <w:pStyle w:val="Default"/>
        <w:rPr>
          <w:rFonts w:ascii="Times New Roman" w:eastAsia="Times New Roman" w:hAnsi="Times New Roman" w:cs="Times New Roman"/>
          <w:i/>
          <w:sz w:val="24"/>
          <w:szCs w:val="24"/>
        </w:rPr>
      </w:pPr>
      <w:r w:rsidRPr="006245BB">
        <w:rPr>
          <w:rFonts w:ascii="Times New Roman" w:eastAsia="Times New Roman" w:hAnsi="Times New Roman" w:cs="Times New Roman"/>
          <w:i/>
          <w:sz w:val="24"/>
          <w:szCs w:val="24"/>
        </w:rPr>
        <w:t>3.5.2. Conclusions</w:t>
      </w:r>
    </w:p>
    <w:p w14:paraId="0E4CF579" w14:textId="3971ED5D" w:rsidR="00E20290" w:rsidRDefault="00E20290">
      <w:pPr>
        <w:pStyle w:val="Default"/>
        <w:rPr>
          <w:rFonts w:ascii="Times New Roman" w:eastAsia="Times New Roman" w:hAnsi="Times New Roman" w:cs="Times New Roman"/>
          <w:sz w:val="24"/>
          <w:szCs w:val="24"/>
        </w:rPr>
      </w:pPr>
    </w:p>
    <w:p w14:paraId="62ABCA6C" w14:textId="3DC82E15" w:rsidR="00E20290" w:rsidRPr="007C7B6F" w:rsidRDefault="00924C1D" w:rsidP="007B4BFE">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Judgment in c</w:t>
      </w:r>
      <w:r w:rsidRPr="00924C1D">
        <w:rPr>
          <w:rFonts w:ascii="Times New Roman" w:eastAsia="Times New Roman" w:hAnsi="Times New Roman" w:cs="Times New Roman"/>
          <w:sz w:val="24"/>
          <w:szCs w:val="24"/>
        </w:rPr>
        <w:t xml:space="preserve">ase C-327/18PPU </w:t>
      </w:r>
      <w:r w:rsidRPr="007B4BFE">
        <w:rPr>
          <w:rFonts w:ascii="Times New Roman" w:eastAsia="Times New Roman" w:hAnsi="Times New Roman" w:cs="Times New Roman"/>
          <w:i/>
          <w:sz w:val="24"/>
          <w:szCs w:val="24"/>
        </w:rPr>
        <w:t>RO</w:t>
      </w:r>
      <w:r w:rsidR="007B4BFE">
        <w:rPr>
          <w:rFonts w:ascii="Times New Roman" w:eastAsia="Times New Roman" w:hAnsi="Times New Roman" w:cs="Times New Roman"/>
          <w:sz w:val="24"/>
          <w:szCs w:val="24"/>
        </w:rPr>
        <w:t xml:space="preserve"> has arrived at a crucial time</w:t>
      </w:r>
      <w:r w:rsidR="00FA4075">
        <w:rPr>
          <w:rFonts w:ascii="Times New Roman" w:eastAsia="Times New Roman" w:hAnsi="Times New Roman" w:cs="Times New Roman"/>
          <w:sz w:val="24"/>
          <w:szCs w:val="24"/>
        </w:rPr>
        <w:t xml:space="preserve">, when many legal aspects of Brexit remain unknown. </w:t>
      </w:r>
      <w:r w:rsidR="007238ED">
        <w:rPr>
          <w:rFonts w:ascii="Times New Roman" w:eastAsia="Times New Roman" w:hAnsi="Times New Roman" w:cs="Times New Roman"/>
          <w:sz w:val="24"/>
          <w:szCs w:val="24"/>
        </w:rPr>
        <w:t>It makes it clear that the notification of intention to withdraw by itself does not undermine the mutual trust and the mutual recognition. Yet, it gives national executing authorities room for manoeuvre when</w:t>
      </w:r>
      <w:r w:rsidR="007C7B6F">
        <w:rPr>
          <w:rFonts w:ascii="Times New Roman" w:eastAsia="Times New Roman" w:hAnsi="Times New Roman" w:cs="Times New Roman"/>
          <w:sz w:val="24"/>
          <w:szCs w:val="24"/>
        </w:rPr>
        <w:t xml:space="preserve"> they handle requests for surrender closer to the date of Brexit. This is achieved by extending the application of </w:t>
      </w:r>
      <w:proofErr w:type="spellStart"/>
      <w:r w:rsidR="007C7B6F" w:rsidRPr="00A055E6">
        <w:rPr>
          <w:rFonts w:ascii="Times New Roman" w:eastAsia="Times New Roman" w:hAnsi="Times New Roman" w:cs="Times New Roman"/>
          <w:i/>
          <w:sz w:val="24"/>
          <w:szCs w:val="24"/>
        </w:rPr>
        <w:t>Aranyosi</w:t>
      </w:r>
      <w:proofErr w:type="spellEnd"/>
      <w:r w:rsidR="007C7B6F" w:rsidRPr="00A055E6">
        <w:rPr>
          <w:rFonts w:ascii="Times New Roman" w:eastAsia="Times New Roman" w:hAnsi="Times New Roman" w:cs="Times New Roman"/>
          <w:sz w:val="24"/>
          <w:szCs w:val="24"/>
        </w:rPr>
        <w:t xml:space="preserve"> and </w:t>
      </w:r>
      <w:proofErr w:type="spellStart"/>
      <w:r w:rsidR="007C7B6F" w:rsidRPr="00A055E6">
        <w:rPr>
          <w:rFonts w:ascii="Times New Roman" w:eastAsia="Times New Roman" w:hAnsi="Times New Roman" w:cs="Times New Roman"/>
          <w:i/>
          <w:sz w:val="24"/>
          <w:szCs w:val="24"/>
        </w:rPr>
        <w:t>Căldăraru</w:t>
      </w:r>
      <w:proofErr w:type="spellEnd"/>
      <w:r w:rsidR="007C7B6F">
        <w:rPr>
          <w:rFonts w:ascii="Times New Roman" w:eastAsia="Times New Roman" w:hAnsi="Times New Roman" w:cs="Times New Roman"/>
          <w:i/>
          <w:sz w:val="24"/>
          <w:szCs w:val="24"/>
        </w:rPr>
        <w:t xml:space="preserve"> </w:t>
      </w:r>
      <w:r w:rsidR="007C7B6F">
        <w:rPr>
          <w:rFonts w:ascii="Times New Roman" w:eastAsia="Times New Roman" w:hAnsi="Times New Roman" w:cs="Times New Roman"/>
          <w:sz w:val="24"/>
          <w:szCs w:val="24"/>
        </w:rPr>
        <w:t>test</w:t>
      </w:r>
      <w:r w:rsidR="005E2E05">
        <w:rPr>
          <w:rFonts w:ascii="Times New Roman" w:eastAsia="Times New Roman" w:hAnsi="Times New Roman" w:cs="Times New Roman"/>
          <w:sz w:val="24"/>
          <w:szCs w:val="24"/>
        </w:rPr>
        <w:t xml:space="preserve">. When this </w:t>
      </w:r>
      <w:r w:rsidR="00A7060E">
        <w:rPr>
          <w:rFonts w:ascii="Times New Roman" w:eastAsia="Times New Roman" w:hAnsi="Times New Roman" w:cs="Times New Roman"/>
          <w:sz w:val="24"/>
          <w:szCs w:val="24"/>
        </w:rPr>
        <w:t>article</w:t>
      </w:r>
      <w:r w:rsidR="005E2E05">
        <w:rPr>
          <w:rFonts w:ascii="Times New Roman" w:eastAsia="Times New Roman" w:hAnsi="Times New Roman" w:cs="Times New Roman"/>
          <w:sz w:val="24"/>
          <w:szCs w:val="24"/>
        </w:rPr>
        <w:t xml:space="preserve"> was completed all bets were off. In a scenario guaranteeing legal certainty at the time of political chaos, the United Kingdom would leave the EU in accordance with </w:t>
      </w:r>
      <w:r w:rsidR="00E94B91">
        <w:rPr>
          <w:rFonts w:ascii="Times New Roman" w:eastAsia="Times New Roman" w:hAnsi="Times New Roman" w:cs="Times New Roman"/>
          <w:sz w:val="24"/>
          <w:szCs w:val="24"/>
        </w:rPr>
        <w:t xml:space="preserve">the Withdrawal Agreement. If that were the case, it would be subject to a transitional period </w:t>
      </w:r>
      <w:r w:rsidR="00DE4C9F">
        <w:rPr>
          <w:rFonts w:ascii="Times New Roman" w:eastAsia="Times New Roman" w:hAnsi="Times New Roman" w:cs="Times New Roman"/>
          <w:sz w:val="24"/>
          <w:szCs w:val="24"/>
        </w:rPr>
        <w:t xml:space="preserve">during which the mutual recognition instruments will continuously apply. </w:t>
      </w:r>
      <w:r w:rsidR="009A1863">
        <w:rPr>
          <w:rFonts w:ascii="Times New Roman" w:eastAsia="Times New Roman" w:hAnsi="Times New Roman" w:cs="Times New Roman"/>
          <w:sz w:val="24"/>
          <w:szCs w:val="24"/>
        </w:rPr>
        <w:t xml:space="preserve">At the same time, a chaotic unilateral withdrawal should not be dismissed. </w:t>
      </w:r>
      <w:r w:rsidR="00672329">
        <w:rPr>
          <w:rFonts w:ascii="Times New Roman" w:eastAsia="Times New Roman" w:hAnsi="Times New Roman" w:cs="Times New Roman"/>
          <w:sz w:val="24"/>
          <w:szCs w:val="24"/>
        </w:rPr>
        <w:t xml:space="preserve">Leaving political speculations aside, if it were to materialise, it would mean that EU law, including </w:t>
      </w:r>
      <w:r w:rsidR="004D00BA">
        <w:rPr>
          <w:rFonts w:ascii="Times New Roman" w:eastAsia="Times New Roman" w:hAnsi="Times New Roman" w:cs="Times New Roman"/>
          <w:sz w:val="24"/>
          <w:szCs w:val="24"/>
        </w:rPr>
        <w:t xml:space="preserve">EAW Framework Decision would apply </w:t>
      </w:r>
      <w:r w:rsidR="00AA1444">
        <w:rPr>
          <w:rFonts w:ascii="Times New Roman" w:eastAsia="Times New Roman" w:hAnsi="Times New Roman" w:cs="Times New Roman"/>
          <w:sz w:val="24"/>
          <w:szCs w:val="24"/>
        </w:rPr>
        <w:t>to the United Kingdom until 2020</w:t>
      </w:r>
      <w:r w:rsidR="00A7060E">
        <w:rPr>
          <w:rFonts w:ascii="Times New Roman" w:eastAsia="Times New Roman" w:hAnsi="Times New Roman" w:cs="Times New Roman"/>
          <w:sz w:val="24"/>
          <w:szCs w:val="24"/>
        </w:rPr>
        <w:t xml:space="preserve"> (or even longer)</w:t>
      </w:r>
      <w:r w:rsidR="00AA1444">
        <w:rPr>
          <w:rFonts w:ascii="Times New Roman" w:eastAsia="Times New Roman" w:hAnsi="Times New Roman" w:cs="Times New Roman"/>
          <w:sz w:val="24"/>
          <w:szCs w:val="24"/>
        </w:rPr>
        <w:t>. Would that remain business as usual? Time will tell, however, more references for preliminary ruling to the Court of Justice seem inevitable.</w:t>
      </w:r>
      <w:r w:rsidR="00F615E3">
        <w:rPr>
          <w:rStyle w:val="FootnoteReference"/>
          <w:rFonts w:ascii="Times New Roman" w:eastAsia="Times New Roman" w:hAnsi="Times New Roman" w:cs="Times New Roman"/>
          <w:sz w:val="24"/>
          <w:szCs w:val="24"/>
        </w:rPr>
        <w:footnoteReference w:id="88"/>
      </w:r>
      <w:r w:rsidR="00AA1444">
        <w:rPr>
          <w:rFonts w:ascii="Times New Roman" w:eastAsia="Times New Roman" w:hAnsi="Times New Roman" w:cs="Times New Roman"/>
          <w:sz w:val="24"/>
          <w:szCs w:val="24"/>
        </w:rPr>
        <w:t xml:space="preserve"> </w:t>
      </w:r>
    </w:p>
    <w:p w14:paraId="47A201D1" w14:textId="77777777" w:rsidR="00E20290" w:rsidRDefault="00E20290">
      <w:pPr>
        <w:pStyle w:val="Default"/>
        <w:rPr>
          <w:rFonts w:ascii="Times New Roman" w:eastAsia="Times New Roman" w:hAnsi="Times New Roman" w:cs="Times New Roman"/>
          <w:sz w:val="24"/>
          <w:szCs w:val="24"/>
        </w:rPr>
      </w:pPr>
    </w:p>
    <w:p w14:paraId="476DA1E5" w14:textId="77777777" w:rsidR="004E2F3A" w:rsidRDefault="00810306">
      <w:pPr>
        <w:pStyle w:val="Default"/>
        <w:rPr>
          <w:rFonts w:ascii="Times New Roman" w:eastAsia="Times New Roman" w:hAnsi="Times New Roman" w:cs="Times New Roman"/>
          <w:b/>
          <w:bCs/>
          <w:sz w:val="24"/>
          <w:szCs w:val="24"/>
        </w:rPr>
      </w:pPr>
      <w:r>
        <w:rPr>
          <w:rFonts w:ascii="Times New Roman" w:hAnsi="Times New Roman"/>
          <w:b/>
          <w:bCs/>
          <w:sz w:val="24"/>
          <w:szCs w:val="24"/>
          <w:lang w:val="en-US"/>
        </w:rPr>
        <w:t>4. Conclusions</w:t>
      </w:r>
    </w:p>
    <w:p w14:paraId="53E8AABA" w14:textId="77777777" w:rsidR="004E2F3A" w:rsidRDefault="004E2F3A">
      <w:pPr>
        <w:pStyle w:val="Default"/>
        <w:rPr>
          <w:rFonts w:ascii="Times New Roman" w:eastAsia="Times New Roman" w:hAnsi="Times New Roman" w:cs="Times New Roman"/>
          <w:sz w:val="24"/>
          <w:szCs w:val="24"/>
        </w:rPr>
      </w:pPr>
    </w:p>
    <w:p w14:paraId="036D4739" w14:textId="79B36C84" w:rsidR="004E2F3A" w:rsidRPr="00D9790E" w:rsidRDefault="00161ED6" w:rsidP="00D9790E">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w:t>
      </w:r>
      <w:r w:rsidR="00351F79">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do</w:t>
      </w:r>
      <w:r w:rsidR="00351F79">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the judgment in joint cases </w:t>
      </w:r>
      <w:proofErr w:type="spellStart"/>
      <w:r w:rsidR="00A055E6" w:rsidRPr="00A055E6">
        <w:rPr>
          <w:rFonts w:ascii="Times New Roman" w:eastAsia="Times New Roman" w:hAnsi="Times New Roman" w:cs="Times New Roman"/>
          <w:i/>
          <w:sz w:val="24"/>
          <w:szCs w:val="24"/>
        </w:rPr>
        <w:t>Aranyosi</w:t>
      </w:r>
      <w:proofErr w:type="spellEnd"/>
      <w:r w:rsidR="00A055E6" w:rsidRPr="00A055E6">
        <w:rPr>
          <w:rFonts w:ascii="Times New Roman" w:eastAsia="Times New Roman" w:hAnsi="Times New Roman" w:cs="Times New Roman"/>
          <w:sz w:val="24"/>
          <w:szCs w:val="24"/>
        </w:rPr>
        <w:t xml:space="preserve"> and </w:t>
      </w:r>
      <w:proofErr w:type="spellStart"/>
      <w:r w:rsidR="00A055E6" w:rsidRPr="00A055E6">
        <w:rPr>
          <w:rFonts w:ascii="Times New Roman" w:eastAsia="Times New Roman" w:hAnsi="Times New Roman" w:cs="Times New Roman"/>
          <w:i/>
          <w:sz w:val="24"/>
          <w:szCs w:val="24"/>
        </w:rPr>
        <w:t>Căldăraru</w:t>
      </w:r>
      <w:proofErr w:type="spellEnd"/>
      <w:r w:rsidR="00A055E6" w:rsidRPr="00A055E6">
        <w:rPr>
          <w:rFonts w:ascii="Times New Roman" w:eastAsia="Times New Roman" w:hAnsi="Times New Roman" w:cs="Times New Roman"/>
          <w:i/>
          <w:sz w:val="24"/>
          <w:szCs w:val="24"/>
        </w:rPr>
        <w:t xml:space="preserve"> </w:t>
      </w:r>
      <w:r w:rsidR="00220428" w:rsidRPr="00220428">
        <w:rPr>
          <w:rFonts w:ascii="Times New Roman" w:eastAsia="Times New Roman" w:hAnsi="Times New Roman" w:cs="Times New Roman"/>
          <w:sz w:val="24"/>
          <w:szCs w:val="24"/>
        </w:rPr>
        <w:t>and the follow-up decisions</w:t>
      </w:r>
      <w:r w:rsidR="00220428">
        <w:rPr>
          <w:rFonts w:ascii="Times New Roman" w:eastAsia="Times New Roman" w:hAnsi="Times New Roman" w:cs="Times New Roman"/>
          <w:i/>
          <w:sz w:val="24"/>
          <w:szCs w:val="24"/>
        </w:rPr>
        <w:t xml:space="preserve"> </w:t>
      </w:r>
      <w:r w:rsidR="00A055E6">
        <w:rPr>
          <w:rFonts w:ascii="Times New Roman" w:eastAsia="Times New Roman" w:hAnsi="Times New Roman" w:cs="Times New Roman"/>
          <w:sz w:val="24"/>
          <w:szCs w:val="24"/>
        </w:rPr>
        <w:t>leave us</w:t>
      </w:r>
      <w:r w:rsidR="00351F79">
        <w:rPr>
          <w:rFonts w:ascii="Times New Roman" w:eastAsia="Times New Roman" w:hAnsi="Times New Roman" w:cs="Times New Roman"/>
          <w:sz w:val="24"/>
          <w:szCs w:val="24"/>
        </w:rPr>
        <w:t xml:space="preserve"> with</w:t>
      </w:r>
      <w:r w:rsidR="00A055E6">
        <w:rPr>
          <w:rFonts w:ascii="Times New Roman" w:eastAsia="Times New Roman" w:hAnsi="Times New Roman" w:cs="Times New Roman"/>
          <w:sz w:val="24"/>
          <w:szCs w:val="24"/>
        </w:rPr>
        <w:t xml:space="preserve">? To begin with, </w:t>
      </w:r>
      <w:r w:rsidR="00351F79">
        <w:rPr>
          <w:rFonts w:ascii="Times New Roman" w:eastAsia="Times New Roman" w:hAnsi="Times New Roman" w:cs="Times New Roman"/>
          <w:sz w:val="24"/>
          <w:szCs w:val="24"/>
        </w:rPr>
        <w:t xml:space="preserve">it </w:t>
      </w:r>
      <w:r w:rsidR="005F7E6E">
        <w:rPr>
          <w:rFonts w:ascii="Times New Roman" w:eastAsia="Times New Roman" w:hAnsi="Times New Roman" w:cs="Times New Roman"/>
          <w:sz w:val="24"/>
          <w:szCs w:val="24"/>
        </w:rPr>
        <w:t>has been</w:t>
      </w:r>
      <w:r w:rsidR="00351F79">
        <w:rPr>
          <w:rFonts w:ascii="Times New Roman" w:eastAsia="Times New Roman" w:hAnsi="Times New Roman" w:cs="Times New Roman"/>
          <w:sz w:val="24"/>
          <w:szCs w:val="24"/>
        </w:rPr>
        <w:t xml:space="preserve"> a breaking point for the mutual recognition and mutual trust in criminal matters. Although carefully </w:t>
      </w:r>
      <w:proofErr w:type="gramStart"/>
      <w:r w:rsidR="00351F79">
        <w:rPr>
          <w:rFonts w:ascii="Times New Roman" w:eastAsia="Times New Roman" w:hAnsi="Times New Roman" w:cs="Times New Roman"/>
          <w:sz w:val="24"/>
          <w:szCs w:val="24"/>
        </w:rPr>
        <w:t>worded</w:t>
      </w:r>
      <w:r w:rsidR="00707193">
        <w:rPr>
          <w:rFonts w:ascii="Times New Roman" w:eastAsia="Times New Roman" w:hAnsi="Times New Roman" w:cs="Times New Roman"/>
          <w:sz w:val="24"/>
          <w:szCs w:val="24"/>
        </w:rPr>
        <w:t>,</w:t>
      </w:r>
      <w:r w:rsidR="00351F79">
        <w:rPr>
          <w:rFonts w:ascii="Times New Roman" w:eastAsia="Times New Roman" w:hAnsi="Times New Roman" w:cs="Times New Roman"/>
          <w:sz w:val="24"/>
          <w:szCs w:val="24"/>
        </w:rPr>
        <w:t xml:space="preserve"> and</w:t>
      </w:r>
      <w:proofErr w:type="gramEnd"/>
      <w:r w:rsidR="00351F79">
        <w:rPr>
          <w:rFonts w:ascii="Times New Roman" w:eastAsia="Times New Roman" w:hAnsi="Times New Roman" w:cs="Times New Roman"/>
          <w:sz w:val="24"/>
          <w:szCs w:val="24"/>
        </w:rPr>
        <w:t xml:space="preserve"> setting </w:t>
      </w:r>
      <w:r w:rsidR="00707193">
        <w:rPr>
          <w:rFonts w:ascii="Times New Roman" w:eastAsia="Times New Roman" w:hAnsi="Times New Roman" w:cs="Times New Roman"/>
          <w:sz w:val="24"/>
          <w:szCs w:val="24"/>
        </w:rPr>
        <w:t>the</w:t>
      </w:r>
      <w:r w:rsidR="00351F79">
        <w:rPr>
          <w:rFonts w:ascii="Times New Roman" w:eastAsia="Times New Roman" w:hAnsi="Times New Roman" w:cs="Times New Roman"/>
          <w:sz w:val="24"/>
          <w:szCs w:val="24"/>
        </w:rPr>
        <w:t xml:space="preserve"> </w:t>
      </w:r>
      <w:r w:rsidR="00351F79" w:rsidRPr="00707193">
        <w:rPr>
          <w:rFonts w:ascii="Times New Roman" w:eastAsia="Times New Roman" w:hAnsi="Times New Roman" w:cs="Times New Roman"/>
          <w:i/>
          <w:sz w:val="24"/>
          <w:szCs w:val="24"/>
        </w:rPr>
        <w:t>modus operandi</w:t>
      </w:r>
      <w:r w:rsidR="00351F79">
        <w:rPr>
          <w:rFonts w:ascii="Times New Roman" w:eastAsia="Times New Roman" w:hAnsi="Times New Roman" w:cs="Times New Roman"/>
          <w:sz w:val="24"/>
          <w:szCs w:val="24"/>
        </w:rPr>
        <w:t xml:space="preserve"> that should be followed </w:t>
      </w:r>
      <w:r w:rsidR="00FE6FBE">
        <w:rPr>
          <w:rFonts w:ascii="Times New Roman" w:eastAsia="Times New Roman" w:hAnsi="Times New Roman" w:cs="Times New Roman"/>
          <w:sz w:val="24"/>
          <w:szCs w:val="24"/>
        </w:rPr>
        <w:t xml:space="preserve">in case of doubts about the respect for fundamental rights at the receiving end, the Court in fact has opened the door </w:t>
      </w:r>
      <w:r w:rsidR="00521B02">
        <w:rPr>
          <w:rFonts w:ascii="Times New Roman" w:eastAsia="Times New Roman" w:hAnsi="Times New Roman" w:cs="Times New Roman"/>
          <w:sz w:val="24"/>
          <w:szCs w:val="24"/>
        </w:rPr>
        <w:t xml:space="preserve">national judges to refuse </w:t>
      </w:r>
      <w:r w:rsidR="005F7E6E">
        <w:rPr>
          <w:rFonts w:ascii="Times New Roman" w:eastAsia="Times New Roman" w:hAnsi="Times New Roman" w:cs="Times New Roman"/>
          <w:sz w:val="24"/>
          <w:szCs w:val="24"/>
        </w:rPr>
        <w:t>execution of the European Arrest Warrants</w:t>
      </w:r>
      <w:r w:rsidR="00521B02">
        <w:rPr>
          <w:rFonts w:ascii="Times New Roman" w:eastAsia="Times New Roman" w:hAnsi="Times New Roman" w:cs="Times New Roman"/>
          <w:sz w:val="24"/>
          <w:szCs w:val="24"/>
        </w:rPr>
        <w:t xml:space="preserve">. </w:t>
      </w:r>
      <w:r w:rsidR="00183FA0">
        <w:rPr>
          <w:rFonts w:ascii="Times New Roman" w:eastAsia="Times New Roman" w:hAnsi="Times New Roman" w:cs="Times New Roman"/>
          <w:sz w:val="24"/>
          <w:szCs w:val="24"/>
        </w:rPr>
        <w:t xml:space="preserve">It should be noted that </w:t>
      </w:r>
      <w:r w:rsidR="00A95FB5">
        <w:rPr>
          <w:rFonts w:ascii="Times New Roman" w:eastAsia="Times New Roman" w:hAnsi="Times New Roman" w:cs="Times New Roman"/>
          <w:sz w:val="24"/>
          <w:szCs w:val="24"/>
        </w:rPr>
        <w:t xml:space="preserve">everyday practice will determine whether the door </w:t>
      </w:r>
      <w:r w:rsidR="00091230">
        <w:rPr>
          <w:rFonts w:ascii="Times New Roman" w:eastAsia="Times New Roman" w:hAnsi="Times New Roman" w:cs="Times New Roman"/>
          <w:sz w:val="24"/>
          <w:szCs w:val="24"/>
        </w:rPr>
        <w:t>has been</w:t>
      </w:r>
      <w:r w:rsidR="00A95FB5">
        <w:rPr>
          <w:rFonts w:ascii="Times New Roman" w:eastAsia="Times New Roman" w:hAnsi="Times New Roman" w:cs="Times New Roman"/>
          <w:sz w:val="24"/>
          <w:szCs w:val="24"/>
        </w:rPr>
        <w:t xml:space="preserve"> </w:t>
      </w:r>
      <w:r w:rsidR="00091230">
        <w:rPr>
          <w:rFonts w:ascii="Times New Roman" w:eastAsia="Times New Roman" w:hAnsi="Times New Roman" w:cs="Times New Roman"/>
          <w:sz w:val="24"/>
          <w:szCs w:val="24"/>
        </w:rPr>
        <w:t xml:space="preserve">made </w:t>
      </w:r>
      <w:r w:rsidR="00A95FB5">
        <w:rPr>
          <w:rFonts w:ascii="Times New Roman" w:eastAsia="Times New Roman" w:hAnsi="Times New Roman" w:cs="Times New Roman"/>
          <w:sz w:val="24"/>
          <w:szCs w:val="24"/>
        </w:rPr>
        <w:t xml:space="preserve">merely ajar or wide open. </w:t>
      </w:r>
      <w:r w:rsidR="00521B02">
        <w:rPr>
          <w:rFonts w:ascii="Times New Roman" w:eastAsia="Times New Roman" w:hAnsi="Times New Roman" w:cs="Times New Roman"/>
          <w:sz w:val="24"/>
          <w:szCs w:val="24"/>
        </w:rPr>
        <w:t xml:space="preserve">On the one hand, </w:t>
      </w:r>
      <w:r w:rsidR="00E3454D">
        <w:rPr>
          <w:rFonts w:ascii="Times New Roman" w:eastAsia="Times New Roman" w:hAnsi="Times New Roman" w:cs="Times New Roman"/>
          <w:sz w:val="24"/>
          <w:szCs w:val="24"/>
        </w:rPr>
        <w:t xml:space="preserve">the discussed judgments are the </w:t>
      </w:r>
      <w:r w:rsidR="00521B02">
        <w:rPr>
          <w:rFonts w:ascii="Times New Roman" w:eastAsia="Times New Roman" w:hAnsi="Times New Roman" w:cs="Times New Roman"/>
          <w:sz w:val="24"/>
          <w:szCs w:val="24"/>
        </w:rPr>
        <w:t>answer</w:t>
      </w:r>
      <w:r w:rsidR="00E3454D">
        <w:rPr>
          <w:rFonts w:ascii="Times New Roman" w:eastAsia="Times New Roman" w:hAnsi="Times New Roman" w:cs="Times New Roman"/>
          <w:sz w:val="24"/>
          <w:szCs w:val="24"/>
        </w:rPr>
        <w:t>s</w:t>
      </w:r>
      <w:r w:rsidR="00521B02">
        <w:rPr>
          <w:rFonts w:ascii="Times New Roman" w:eastAsia="Times New Roman" w:hAnsi="Times New Roman" w:cs="Times New Roman"/>
          <w:sz w:val="24"/>
          <w:szCs w:val="24"/>
        </w:rPr>
        <w:t xml:space="preserve"> to dilemmas faced in the multiface</w:t>
      </w:r>
      <w:r w:rsidR="00234080">
        <w:rPr>
          <w:rFonts w:ascii="Times New Roman" w:eastAsia="Times New Roman" w:hAnsi="Times New Roman" w:cs="Times New Roman"/>
          <w:sz w:val="24"/>
          <w:szCs w:val="24"/>
        </w:rPr>
        <w:t xml:space="preserve">ted legal environment. On the other hand, </w:t>
      </w:r>
      <w:r w:rsidR="00E3454D">
        <w:rPr>
          <w:rFonts w:ascii="Times New Roman" w:eastAsia="Times New Roman" w:hAnsi="Times New Roman" w:cs="Times New Roman"/>
          <w:sz w:val="24"/>
          <w:szCs w:val="24"/>
        </w:rPr>
        <w:t>they are</w:t>
      </w:r>
      <w:r w:rsidR="00234080">
        <w:rPr>
          <w:rFonts w:ascii="Times New Roman" w:eastAsia="Times New Roman" w:hAnsi="Times New Roman" w:cs="Times New Roman"/>
          <w:sz w:val="24"/>
          <w:szCs w:val="24"/>
        </w:rPr>
        <w:t xml:space="preserve"> a </w:t>
      </w:r>
      <w:r w:rsidR="005E211A">
        <w:rPr>
          <w:rFonts w:ascii="Times New Roman" w:eastAsia="Times New Roman" w:hAnsi="Times New Roman" w:cs="Times New Roman"/>
          <w:sz w:val="24"/>
          <w:szCs w:val="24"/>
        </w:rPr>
        <w:t xml:space="preserve">challenge </w:t>
      </w:r>
      <w:r w:rsidR="00234080">
        <w:rPr>
          <w:rFonts w:ascii="Times New Roman" w:eastAsia="Times New Roman" w:hAnsi="Times New Roman" w:cs="Times New Roman"/>
          <w:sz w:val="24"/>
          <w:szCs w:val="24"/>
        </w:rPr>
        <w:t xml:space="preserve">to the principle of mutual trust. </w:t>
      </w:r>
      <w:r w:rsidR="000B7F09">
        <w:rPr>
          <w:rFonts w:ascii="Times New Roman" w:eastAsia="Times New Roman" w:hAnsi="Times New Roman" w:cs="Times New Roman"/>
          <w:sz w:val="24"/>
          <w:szCs w:val="24"/>
        </w:rPr>
        <w:t xml:space="preserve">EU law now allows domestic judges to question </w:t>
      </w:r>
      <w:r w:rsidR="00AA7FE9">
        <w:rPr>
          <w:rFonts w:ascii="Times New Roman" w:eastAsia="Times New Roman" w:hAnsi="Times New Roman" w:cs="Times New Roman"/>
          <w:sz w:val="24"/>
          <w:szCs w:val="24"/>
        </w:rPr>
        <w:t xml:space="preserve">openly </w:t>
      </w:r>
      <w:r w:rsidR="000B7F09">
        <w:rPr>
          <w:rFonts w:ascii="Times New Roman" w:eastAsia="Times New Roman" w:hAnsi="Times New Roman" w:cs="Times New Roman"/>
          <w:sz w:val="24"/>
          <w:szCs w:val="24"/>
        </w:rPr>
        <w:t xml:space="preserve">the trust in </w:t>
      </w:r>
      <w:r w:rsidR="001E65D8">
        <w:rPr>
          <w:rFonts w:ascii="Times New Roman" w:eastAsia="Times New Roman" w:hAnsi="Times New Roman" w:cs="Times New Roman"/>
          <w:sz w:val="24"/>
          <w:szCs w:val="24"/>
        </w:rPr>
        <w:t xml:space="preserve">their counterparts and </w:t>
      </w:r>
      <w:r w:rsidR="00AA7FE9">
        <w:rPr>
          <w:rFonts w:ascii="Times New Roman" w:eastAsia="Times New Roman" w:hAnsi="Times New Roman" w:cs="Times New Roman"/>
          <w:sz w:val="24"/>
          <w:szCs w:val="24"/>
        </w:rPr>
        <w:t xml:space="preserve">the </w:t>
      </w:r>
      <w:r w:rsidR="001E65D8">
        <w:rPr>
          <w:rFonts w:ascii="Times New Roman" w:eastAsia="Times New Roman" w:hAnsi="Times New Roman" w:cs="Times New Roman"/>
          <w:sz w:val="24"/>
          <w:szCs w:val="24"/>
        </w:rPr>
        <w:t xml:space="preserve">legal systems of other Member States. </w:t>
      </w:r>
      <w:r w:rsidR="005E211A">
        <w:rPr>
          <w:rFonts w:ascii="Times New Roman" w:eastAsia="Times New Roman" w:hAnsi="Times New Roman" w:cs="Times New Roman"/>
          <w:sz w:val="24"/>
          <w:szCs w:val="24"/>
        </w:rPr>
        <w:t>At the same time, t</w:t>
      </w:r>
      <w:r w:rsidR="00D36DCD">
        <w:rPr>
          <w:rFonts w:ascii="Times New Roman" w:eastAsia="Times New Roman" w:hAnsi="Times New Roman" w:cs="Times New Roman"/>
          <w:sz w:val="24"/>
          <w:szCs w:val="24"/>
        </w:rPr>
        <w:t>his</w:t>
      </w:r>
      <w:r w:rsidR="00704480">
        <w:rPr>
          <w:rFonts w:ascii="Times New Roman" w:eastAsia="Times New Roman" w:hAnsi="Times New Roman" w:cs="Times New Roman"/>
          <w:sz w:val="24"/>
          <w:szCs w:val="24"/>
        </w:rPr>
        <w:t xml:space="preserve"> eases the tensions between the obligations resting on the shoulders of domestic judges</w:t>
      </w:r>
      <w:r w:rsidR="00A37F1F">
        <w:rPr>
          <w:rFonts w:ascii="Times New Roman" w:eastAsia="Times New Roman" w:hAnsi="Times New Roman" w:cs="Times New Roman"/>
          <w:sz w:val="24"/>
          <w:szCs w:val="24"/>
        </w:rPr>
        <w:t>,</w:t>
      </w:r>
      <w:r w:rsidR="00704480">
        <w:rPr>
          <w:rFonts w:ascii="Times New Roman" w:eastAsia="Times New Roman" w:hAnsi="Times New Roman" w:cs="Times New Roman"/>
          <w:sz w:val="24"/>
          <w:szCs w:val="24"/>
        </w:rPr>
        <w:t xml:space="preserve"> courtesy of national law </w:t>
      </w:r>
      <w:r w:rsidR="009120BB">
        <w:rPr>
          <w:rFonts w:ascii="Times New Roman" w:eastAsia="Times New Roman" w:hAnsi="Times New Roman" w:cs="Times New Roman"/>
          <w:sz w:val="24"/>
          <w:szCs w:val="24"/>
        </w:rPr>
        <w:t xml:space="preserve">combined with </w:t>
      </w:r>
      <w:r w:rsidR="00704480">
        <w:rPr>
          <w:rFonts w:ascii="Times New Roman" w:eastAsia="Times New Roman" w:hAnsi="Times New Roman" w:cs="Times New Roman"/>
          <w:sz w:val="24"/>
          <w:szCs w:val="24"/>
        </w:rPr>
        <w:t>ECHR</w:t>
      </w:r>
      <w:r w:rsidR="009120BB">
        <w:rPr>
          <w:rFonts w:ascii="Times New Roman" w:eastAsia="Times New Roman" w:hAnsi="Times New Roman" w:cs="Times New Roman"/>
          <w:sz w:val="24"/>
          <w:szCs w:val="24"/>
        </w:rPr>
        <w:t xml:space="preserve"> and Framework Decision 584/2001/JHA on the European Arrest Warrant (and some other m</w:t>
      </w:r>
      <w:r w:rsidR="0085120A">
        <w:rPr>
          <w:rFonts w:ascii="Times New Roman" w:eastAsia="Times New Roman" w:hAnsi="Times New Roman" w:cs="Times New Roman"/>
          <w:sz w:val="24"/>
          <w:szCs w:val="24"/>
        </w:rPr>
        <w:t xml:space="preserve">utual recognition instruments). In more general terms, as argued by L. </w:t>
      </w:r>
      <w:proofErr w:type="spellStart"/>
      <w:r w:rsidR="0085120A">
        <w:rPr>
          <w:rFonts w:ascii="Times New Roman" w:eastAsia="Times New Roman" w:hAnsi="Times New Roman" w:cs="Times New Roman"/>
          <w:sz w:val="24"/>
          <w:szCs w:val="24"/>
        </w:rPr>
        <w:t>Mancano</w:t>
      </w:r>
      <w:proofErr w:type="spellEnd"/>
      <w:r w:rsidR="0085120A">
        <w:rPr>
          <w:rFonts w:ascii="Times New Roman" w:eastAsia="Times New Roman" w:hAnsi="Times New Roman" w:cs="Times New Roman"/>
          <w:sz w:val="24"/>
          <w:szCs w:val="24"/>
        </w:rPr>
        <w:t xml:space="preserve">, </w:t>
      </w:r>
      <w:r w:rsidR="00011C19">
        <w:rPr>
          <w:rFonts w:ascii="Times New Roman" w:eastAsia="Times New Roman" w:hAnsi="Times New Roman" w:cs="Times New Roman"/>
          <w:sz w:val="24"/>
          <w:szCs w:val="24"/>
        </w:rPr>
        <w:t>the shift in the jurisprudence of the Court of Justice “restores the balance between fundamental rights protection and enforcement demands in the European Arrest Warrant system”.</w:t>
      </w:r>
      <w:r w:rsidR="00011C19">
        <w:rPr>
          <w:rStyle w:val="FootnoteReference"/>
          <w:rFonts w:ascii="Times New Roman" w:eastAsia="Times New Roman" w:hAnsi="Times New Roman" w:cs="Times New Roman"/>
          <w:sz w:val="24"/>
          <w:szCs w:val="24"/>
        </w:rPr>
        <w:footnoteReference w:id="89"/>
      </w:r>
      <w:r w:rsidR="00011C19">
        <w:rPr>
          <w:rFonts w:ascii="Times New Roman" w:eastAsia="Times New Roman" w:hAnsi="Times New Roman" w:cs="Times New Roman"/>
          <w:sz w:val="24"/>
          <w:szCs w:val="24"/>
        </w:rPr>
        <w:t xml:space="preserve"> By the same token the Court of Justice has moved</w:t>
      </w:r>
      <w:r w:rsidR="00D9790E">
        <w:rPr>
          <w:rFonts w:ascii="Times New Roman" w:hAnsi="Times New Roman" w:cs="Times New Roman"/>
          <w:i/>
          <w:color w:val="auto"/>
          <w:sz w:val="20"/>
          <w:szCs w:val="20"/>
          <w:lang w:val="en-US"/>
        </w:rPr>
        <w:t xml:space="preserve"> </w:t>
      </w:r>
      <w:r w:rsidR="00011C19">
        <w:rPr>
          <w:rFonts w:ascii="Times New Roman" w:eastAsia="Times New Roman" w:hAnsi="Times New Roman" w:cs="Times New Roman"/>
          <w:sz w:val="24"/>
          <w:szCs w:val="24"/>
        </w:rPr>
        <w:t xml:space="preserve">the centre of gravity </w:t>
      </w:r>
      <w:r w:rsidR="00376D5E">
        <w:rPr>
          <w:rFonts w:ascii="Times New Roman" w:eastAsia="Times New Roman" w:hAnsi="Times New Roman" w:cs="Times New Roman"/>
          <w:sz w:val="24"/>
          <w:szCs w:val="24"/>
        </w:rPr>
        <w:t xml:space="preserve">from security closer to </w:t>
      </w:r>
      <w:r w:rsidR="00011C19">
        <w:rPr>
          <w:rFonts w:ascii="Times New Roman" w:eastAsia="Times New Roman" w:hAnsi="Times New Roman" w:cs="Times New Roman"/>
          <w:sz w:val="24"/>
          <w:szCs w:val="24"/>
        </w:rPr>
        <w:t xml:space="preserve">justice. </w:t>
      </w:r>
      <w:r w:rsidR="00631E23">
        <w:rPr>
          <w:rFonts w:ascii="Times New Roman" w:eastAsia="Times New Roman" w:hAnsi="Times New Roman" w:cs="Times New Roman"/>
          <w:sz w:val="24"/>
          <w:szCs w:val="24"/>
        </w:rPr>
        <w:t xml:space="preserve">The question is whether the conclusions reached in joined cases </w:t>
      </w:r>
      <w:proofErr w:type="spellStart"/>
      <w:r w:rsidR="00631E23" w:rsidRPr="00A055E6">
        <w:rPr>
          <w:rFonts w:ascii="Times New Roman" w:eastAsia="Times New Roman" w:hAnsi="Times New Roman" w:cs="Times New Roman"/>
          <w:i/>
          <w:sz w:val="24"/>
          <w:szCs w:val="24"/>
        </w:rPr>
        <w:t>Aranyosi</w:t>
      </w:r>
      <w:proofErr w:type="spellEnd"/>
      <w:r w:rsidR="00631E23" w:rsidRPr="00A055E6">
        <w:rPr>
          <w:rFonts w:ascii="Times New Roman" w:eastAsia="Times New Roman" w:hAnsi="Times New Roman" w:cs="Times New Roman"/>
          <w:sz w:val="24"/>
          <w:szCs w:val="24"/>
        </w:rPr>
        <w:t xml:space="preserve"> and </w:t>
      </w:r>
      <w:proofErr w:type="spellStart"/>
      <w:r w:rsidR="00631E23" w:rsidRPr="00A055E6">
        <w:rPr>
          <w:rFonts w:ascii="Times New Roman" w:eastAsia="Times New Roman" w:hAnsi="Times New Roman" w:cs="Times New Roman"/>
          <w:i/>
          <w:sz w:val="24"/>
          <w:szCs w:val="24"/>
        </w:rPr>
        <w:t>Căldăraru</w:t>
      </w:r>
      <w:proofErr w:type="spellEnd"/>
      <w:r w:rsidR="00631E23">
        <w:rPr>
          <w:rFonts w:ascii="Times New Roman" w:eastAsia="Times New Roman" w:hAnsi="Times New Roman" w:cs="Times New Roman"/>
          <w:i/>
          <w:sz w:val="24"/>
          <w:szCs w:val="24"/>
        </w:rPr>
        <w:t xml:space="preserve"> </w:t>
      </w:r>
      <w:r w:rsidR="00631E23">
        <w:rPr>
          <w:rFonts w:ascii="Times New Roman" w:eastAsia="Times New Roman" w:hAnsi="Times New Roman" w:cs="Times New Roman"/>
          <w:sz w:val="24"/>
          <w:szCs w:val="24"/>
        </w:rPr>
        <w:t xml:space="preserve">should be now also addressed by the EU legislator. To put it differently, </w:t>
      </w:r>
      <w:r w:rsidR="00211CA2">
        <w:rPr>
          <w:rFonts w:ascii="Times New Roman" w:eastAsia="Times New Roman" w:hAnsi="Times New Roman" w:cs="Times New Roman"/>
          <w:sz w:val="24"/>
          <w:szCs w:val="24"/>
        </w:rPr>
        <w:t>if a</w:t>
      </w:r>
      <w:r w:rsidR="00631E23">
        <w:rPr>
          <w:rFonts w:ascii="Times New Roman" w:eastAsia="Times New Roman" w:hAnsi="Times New Roman" w:cs="Times New Roman"/>
          <w:sz w:val="24"/>
          <w:szCs w:val="24"/>
        </w:rPr>
        <w:t xml:space="preserve"> revision of EAW Framework Decision </w:t>
      </w:r>
      <w:r w:rsidR="00211CA2">
        <w:rPr>
          <w:rFonts w:ascii="Times New Roman" w:eastAsia="Times New Roman" w:hAnsi="Times New Roman" w:cs="Times New Roman"/>
          <w:sz w:val="24"/>
          <w:szCs w:val="24"/>
        </w:rPr>
        <w:t xml:space="preserve">were to </w:t>
      </w:r>
      <w:r w:rsidR="00631E23">
        <w:rPr>
          <w:rFonts w:ascii="Times New Roman" w:eastAsia="Times New Roman" w:hAnsi="Times New Roman" w:cs="Times New Roman"/>
          <w:sz w:val="24"/>
          <w:szCs w:val="24"/>
        </w:rPr>
        <w:t>materialise, should Articles 3-4a be amended in order to codify the juri</w:t>
      </w:r>
      <w:r w:rsidR="00211CA2">
        <w:rPr>
          <w:rFonts w:ascii="Times New Roman" w:eastAsia="Times New Roman" w:hAnsi="Times New Roman" w:cs="Times New Roman"/>
          <w:sz w:val="24"/>
          <w:szCs w:val="24"/>
        </w:rPr>
        <w:t xml:space="preserve">sprudence coming from </w:t>
      </w:r>
      <w:proofErr w:type="spellStart"/>
      <w:r w:rsidR="00211CA2">
        <w:rPr>
          <w:rFonts w:ascii="Times New Roman" w:eastAsia="Times New Roman" w:hAnsi="Times New Roman" w:cs="Times New Roman"/>
          <w:sz w:val="24"/>
          <w:szCs w:val="24"/>
        </w:rPr>
        <w:t>Kirchberg</w:t>
      </w:r>
      <w:proofErr w:type="spellEnd"/>
      <w:r w:rsidR="00211CA2">
        <w:rPr>
          <w:rFonts w:ascii="Times New Roman" w:eastAsia="Times New Roman" w:hAnsi="Times New Roman" w:cs="Times New Roman"/>
          <w:sz w:val="24"/>
          <w:szCs w:val="24"/>
        </w:rPr>
        <w:t>?</w:t>
      </w:r>
      <w:r w:rsidR="00631E23">
        <w:rPr>
          <w:rFonts w:ascii="Times New Roman" w:eastAsia="Times New Roman" w:hAnsi="Times New Roman" w:cs="Times New Roman"/>
          <w:sz w:val="24"/>
          <w:szCs w:val="24"/>
        </w:rPr>
        <w:t xml:space="preserve"> </w:t>
      </w:r>
      <w:r w:rsidR="00D9790E">
        <w:rPr>
          <w:rFonts w:ascii="Times New Roman" w:eastAsia="Times New Roman" w:hAnsi="Times New Roman" w:cs="Times New Roman"/>
          <w:sz w:val="24"/>
          <w:szCs w:val="24"/>
        </w:rPr>
        <w:t>It should be noted, that a precedent has been set in Directive 2014/41/EU on European Investigation Order, which envisages fundamental rights as a non-recognition ground.</w:t>
      </w:r>
      <w:r w:rsidR="00D9790E">
        <w:rPr>
          <w:rStyle w:val="FootnoteReference"/>
          <w:rFonts w:ascii="Times New Roman" w:eastAsia="Times New Roman" w:hAnsi="Times New Roman" w:cs="Times New Roman"/>
          <w:sz w:val="24"/>
          <w:szCs w:val="24"/>
        </w:rPr>
        <w:footnoteReference w:id="90"/>
      </w:r>
      <w:r w:rsidR="00D9790E">
        <w:rPr>
          <w:rFonts w:ascii="Times New Roman" w:eastAsia="Times New Roman" w:hAnsi="Times New Roman" w:cs="Times New Roman"/>
          <w:sz w:val="24"/>
          <w:szCs w:val="24"/>
        </w:rPr>
        <w:t xml:space="preserve"> Yet, for now, any formal revision of EAW Framework Decision remains</w:t>
      </w:r>
      <w:r w:rsidR="00631E23">
        <w:rPr>
          <w:rFonts w:ascii="Times New Roman" w:eastAsia="Times New Roman" w:hAnsi="Times New Roman" w:cs="Times New Roman"/>
          <w:sz w:val="24"/>
          <w:szCs w:val="24"/>
        </w:rPr>
        <w:t xml:space="preserve"> merely a theoretical proposition as there is clearly no appetite to proceed with any revision with the </w:t>
      </w:r>
      <w:r w:rsidR="00D9790E">
        <w:rPr>
          <w:rFonts w:ascii="Times New Roman" w:eastAsia="Times New Roman" w:hAnsi="Times New Roman" w:cs="Times New Roman"/>
          <w:sz w:val="24"/>
          <w:szCs w:val="24"/>
        </w:rPr>
        <w:t>legal act in question. This, in turn means, that the question whether to surrender or not, when in doubt about the respect for fundamental rights, will remain to be answered solely by national courts (assisted by the Court of Justice).</w:t>
      </w:r>
      <w:r w:rsidR="00211CA2">
        <w:rPr>
          <w:rFonts w:ascii="Times New Roman" w:eastAsia="Times New Roman" w:hAnsi="Times New Roman" w:cs="Times New Roman"/>
          <w:sz w:val="24"/>
          <w:szCs w:val="24"/>
        </w:rPr>
        <w:t xml:space="preserve"> </w:t>
      </w:r>
      <w:r w:rsidR="00FC3661">
        <w:rPr>
          <w:rFonts w:ascii="Times New Roman" w:eastAsia="Times New Roman" w:hAnsi="Times New Roman" w:cs="Times New Roman"/>
          <w:sz w:val="24"/>
          <w:szCs w:val="24"/>
        </w:rPr>
        <w:t xml:space="preserve">And this will boil down to the fundamental question whether their counterparts in other Member States can be trusted. Trust has not been lost yet, however, as cases discussed in this </w:t>
      </w:r>
      <w:r w:rsidR="00A7060E">
        <w:rPr>
          <w:rFonts w:ascii="Times New Roman" w:eastAsia="Times New Roman" w:hAnsi="Times New Roman" w:cs="Times New Roman"/>
          <w:sz w:val="24"/>
          <w:szCs w:val="24"/>
        </w:rPr>
        <w:t>article</w:t>
      </w:r>
      <w:r w:rsidR="00FC3661">
        <w:rPr>
          <w:rFonts w:ascii="Times New Roman" w:eastAsia="Times New Roman" w:hAnsi="Times New Roman" w:cs="Times New Roman"/>
          <w:sz w:val="24"/>
          <w:szCs w:val="24"/>
        </w:rPr>
        <w:t xml:space="preserve"> demonstrate, it has been put to a test.</w:t>
      </w:r>
    </w:p>
    <w:sectPr w:rsidR="004E2F3A" w:rsidRPr="00D9790E">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A8973" w14:textId="77777777" w:rsidR="000E60D2" w:rsidRDefault="000E60D2">
      <w:r>
        <w:separator/>
      </w:r>
    </w:p>
  </w:endnote>
  <w:endnote w:type="continuationSeparator" w:id="0">
    <w:p w14:paraId="3DB36BA4" w14:textId="77777777" w:rsidR="000E60D2" w:rsidRDefault="000E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Times New Roman Italic">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BA5D" w14:textId="77777777" w:rsidR="003D4C37" w:rsidRDefault="003D4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E61BB" w14:textId="77777777" w:rsidR="003D4C37" w:rsidRDefault="003D4C37">
    <w:pPr>
      <w:pStyle w:val="HeaderFooter"/>
      <w:tabs>
        <w:tab w:val="clear" w:pos="9020"/>
        <w:tab w:val="center" w:pos="4819"/>
        <w:tab w:val="right" w:pos="9638"/>
      </w:tabs>
    </w:pP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ED9F" w14:textId="77777777" w:rsidR="003D4C37" w:rsidRDefault="003D4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9D243" w14:textId="77777777" w:rsidR="000E60D2" w:rsidRDefault="000E60D2">
      <w:r>
        <w:separator/>
      </w:r>
    </w:p>
  </w:footnote>
  <w:footnote w:type="continuationSeparator" w:id="0">
    <w:p w14:paraId="144AF740" w14:textId="77777777" w:rsidR="000E60D2" w:rsidRDefault="000E60D2">
      <w:r>
        <w:continuationSeparator/>
      </w:r>
    </w:p>
  </w:footnote>
  <w:footnote w:type="continuationNotice" w:id="1">
    <w:p w14:paraId="5185C177" w14:textId="77777777" w:rsidR="000E60D2" w:rsidRDefault="000E60D2"/>
  </w:footnote>
  <w:footnote w:id="2">
    <w:p w14:paraId="0CD06359" w14:textId="77777777" w:rsidR="003D4C37" w:rsidRPr="00EF2246" w:rsidRDefault="003D4C37">
      <w:pPr>
        <w:pStyle w:val="FootnoteText"/>
        <w:rPr>
          <w:lang w:val="en-GB"/>
        </w:rPr>
      </w:pPr>
      <w:r w:rsidRPr="00EF2246">
        <w:rPr>
          <w:rStyle w:val="FootnoteReference"/>
        </w:rPr>
        <w:t>*</w:t>
      </w:r>
      <w:r w:rsidRPr="00EF2246">
        <w:t xml:space="preserve"> </w:t>
      </w:r>
      <w:r w:rsidRPr="00EF2246">
        <w:rPr>
          <w:lang w:val="en-GB"/>
        </w:rPr>
        <w:t xml:space="preserve">Professor of Law of the European Union, Westminster Law School, London. </w:t>
      </w:r>
    </w:p>
  </w:footnote>
  <w:footnote w:id="3">
    <w:p w14:paraId="317FFE56" w14:textId="2D455E36" w:rsidR="003D4C37" w:rsidRPr="00EF2246" w:rsidRDefault="003D4C37">
      <w:pPr>
        <w:pStyle w:val="Footnote"/>
        <w:jc w:val="both"/>
        <w:rPr>
          <w:sz w:val="20"/>
          <w:szCs w:val="20"/>
        </w:rPr>
      </w:pPr>
      <w:r w:rsidRPr="00EF2246">
        <w:rPr>
          <w:rFonts w:ascii="Times New Roman" w:eastAsia="Times New Roman" w:hAnsi="Times New Roman" w:cs="Times New Roman"/>
          <w:sz w:val="20"/>
          <w:szCs w:val="20"/>
          <w:vertAlign w:val="superscript"/>
        </w:rPr>
        <w:footnoteRef/>
      </w:r>
      <w:r w:rsidRPr="00EF2246">
        <w:rPr>
          <w:rFonts w:ascii="Times New Roman" w:hAnsi="Times New Roman"/>
          <w:sz w:val="20"/>
          <w:szCs w:val="20"/>
        </w:rPr>
        <w:t xml:space="preserve"> C. Baker (ed.), </w:t>
      </w:r>
      <w:r w:rsidRPr="00046DBC">
        <w:rPr>
          <w:rFonts w:ascii="Times New Roman" w:hAnsi="Times New Roman"/>
          <w:i/>
          <w:sz w:val="20"/>
          <w:szCs w:val="20"/>
        </w:rPr>
        <w:t>Ernest Hemingway Selected Letters 1917-1961</w:t>
      </w:r>
      <w:r>
        <w:rPr>
          <w:rFonts w:ascii="Times New Roman" w:hAnsi="Times New Roman"/>
          <w:sz w:val="20"/>
          <w:szCs w:val="20"/>
        </w:rPr>
        <w:t>,</w:t>
      </w:r>
      <w:r w:rsidR="00D27DB3">
        <w:rPr>
          <w:rFonts w:ascii="Times New Roman" w:hAnsi="Times New Roman"/>
          <w:sz w:val="20"/>
          <w:szCs w:val="20"/>
        </w:rPr>
        <w:t xml:space="preserve"> Letter to Dorothy </w:t>
      </w:r>
      <w:proofErr w:type="spellStart"/>
      <w:r w:rsidR="00D27DB3">
        <w:rPr>
          <w:rFonts w:ascii="Times New Roman" w:hAnsi="Times New Roman"/>
          <w:sz w:val="20"/>
          <w:szCs w:val="20"/>
        </w:rPr>
        <w:t>Connable</w:t>
      </w:r>
      <w:proofErr w:type="spellEnd"/>
      <w:r w:rsidR="00D27DB3">
        <w:rPr>
          <w:rFonts w:ascii="Times New Roman" w:hAnsi="Times New Roman"/>
          <w:sz w:val="20"/>
          <w:szCs w:val="20"/>
        </w:rPr>
        <w:t xml:space="preserve"> (17 February 1953),</w:t>
      </w:r>
      <w:r>
        <w:rPr>
          <w:rFonts w:ascii="Times New Roman" w:hAnsi="Times New Roman"/>
          <w:sz w:val="20"/>
          <w:szCs w:val="20"/>
        </w:rPr>
        <w:t xml:space="preserve"> </w:t>
      </w:r>
      <w:r w:rsidR="00D27DB3">
        <w:rPr>
          <w:rFonts w:ascii="Times New Roman" w:hAnsi="Times New Roman"/>
          <w:sz w:val="20"/>
          <w:szCs w:val="20"/>
        </w:rPr>
        <w:t xml:space="preserve">New York 1981, at </w:t>
      </w:r>
      <w:r>
        <w:rPr>
          <w:rFonts w:ascii="Times New Roman" w:hAnsi="Times New Roman"/>
          <w:sz w:val="20"/>
          <w:szCs w:val="20"/>
        </w:rPr>
        <w:t xml:space="preserve">p. </w:t>
      </w:r>
      <w:r w:rsidR="00D27DB3">
        <w:rPr>
          <w:rFonts w:ascii="Times New Roman" w:hAnsi="Times New Roman"/>
          <w:sz w:val="20"/>
          <w:szCs w:val="20"/>
        </w:rPr>
        <w:t>805.</w:t>
      </w:r>
    </w:p>
  </w:footnote>
  <w:footnote w:id="4">
    <w:p w14:paraId="164CFB24" w14:textId="47A04E4A" w:rsidR="003D4C37" w:rsidRPr="00EF2246" w:rsidRDefault="003D4C37">
      <w:pPr>
        <w:pStyle w:val="Footnote"/>
        <w:jc w:val="both"/>
        <w:rPr>
          <w:sz w:val="20"/>
          <w:szCs w:val="20"/>
        </w:rPr>
      </w:pPr>
      <w:r w:rsidRPr="00EF2246">
        <w:rPr>
          <w:rFonts w:ascii="Times New Roman" w:eastAsia="Times New Roman" w:hAnsi="Times New Roman" w:cs="Times New Roman"/>
          <w:sz w:val="20"/>
          <w:szCs w:val="20"/>
          <w:vertAlign w:val="superscript"/>
        </w:rPr>
        <w:footnoteRef/>
      </w:r>
      <w:r w:rsidRPr="00EF2246">
        <w:rPr>
          <w:rFonts w:ascii="Times New Roman" w:hAnsi="Times New Roman"/>
          <w:sz w:val="20"/>
          <w:szCs w:val="20"/>
        </w:rPr>
        <w:t xml:space="preserve"> </w:t>
      </w:r>
      <w:r w:rsidRPr="00EF2246">
        <w:rPr>
          <w:rFonts w:ascii="Times New Roman" w:hAnsi="Times New Roman"/>
          <w:sz w:val="20"/>
          <w:szCs w:val="20"/>
          <w:lang w:val="en-US"/>
        </w:rPr>
        <w:t xml:space="preserve">For an academic appraisal see, </w:t>
      </w:r>
      <w:r w:rsidRPr="00EF2246">
        <w:rPr>
          <w:rFonts w:ascii="Times New Roman" w:hAnsi="Times New Roman"/>
          <w:i/>
          <w:iCs/>
          <w:sz w:val="20"/>
          <w:szCs w:val="20"/>
          <w:lang w:val="en-US"/>
        </w:rPr>
        <w:t>inter alia</w:t>
      </w:r>
      <w:r w:rsidRPr="00EF2246">
        <w:rPr>
          <w:rFonts w:ascii="Times New Roman" w:hAnsi="Times New Roman"/>
          <w:sz w:val="20"/>
          <w:szCs w:val="20"/>
          <w:lang w:val="en-US"/>
        </w:rPr>
        <w:t>,</w:t>
      </w:r>
      <w:r>
        <w:rPr>
          <w:rFonts w:ascii="Times New Roman" w:hAnsi="Times New Roman"/>
          <w:sz w:val="20"/>
          <w:szCs w:val="20"/>
          <w:lang w:val="en-US"/>
        </w:rPr>
        <w:t xml:space="preserve"> </w:t>
      </w:r>
      <w:r w:rsidRPr="00086D66">
        <w:rPr>
          <w:rFonts w:ascii="Times New Roman" w:hAnsi="Times New Roman"/>
          <w:sz w:val="20"/>
          <w:szCs w:val="20"/>
          <w:lang w:val="en-US"/>
        </w:rPr>
        <w:t>A</w:t>
      </w:r>
      <w:r>
        <w:rPr>
          <w:rFonts w:ascii="Times New Roman" w:hAnsi="Times New Roman"/>
          <w:sz w:val="20"/>
          <w:szCs w:val="20"/>
          <w:lang w:val="en-US"/>
        </w:rPr>
        <w:t xml:space="preserve">. </w:t>
      </w:r>
      <w:proofErr w:type="spellStart"/>
      <w:r w:rsidRPr="00086D66">
        <w:rPr>
          <w:rFonts w:ascii="Times New Roman" w:hAnsi="Times New Roman"/>
          <w:sz w:val="20"/>
          <w:szCs w:val="20"/>
          <w:lang w:val="en-US"/>
        </w:rPr>
        <w:t>Suominen</w:t>
      </w:r>
      <w:proofErr w:type="spellEnd"/>
      <w:r>
        <w:rPr>
          <w:rFonts w:ascii="Times New Roman" w:hAnsi="Times New Roman"/>
          <w:sz w:val="20"/>
          <w:szCs w:val="20"/>
          <w:lang w:val="en-US"/>
        </w:rPr>
        <w:t xml:space="preserve">, </w:t>
      </w:r>
      <w:r w:rsidRPr="00620F03">
        <w:rPr>
          <w:rFonts w:ascii="Times New Roman" w:hAnsi="Times New Roman"/>
          <w:i/>
          <w:sz w:val="20"/>
          <w:szCs w:val="20"/>
          <w:lang w:val="en-US"/>
        </w:rPr>
        <w:t>The Principle of Mutual Recognition in Cooperation in Criminal Matters</w:t>
      </w:r>
      <w:r>
        <w:rPr>
          <w:rFonts w:ascii="Times New Roman" w:hAnsi="Times New Roman"/>
          <w:sz w:val="20"/>
          <w:szCs w:val="20"/>
          <w:lang w:val="en-US"/>
        </w:rPr>
        <w:t xml:space="preserve">, Brussels 2011; </w:t>
      </w:r>
      <w:r w:rsidRPr="006C4AAB">
        <w:rPr>
          <w:rFonts w:ascii="Times New Roman" w:hAnsi="Times New Roman"/>
          <w:sz w:val="20"/>
          <w:szCs w:val="20"/>
          <w:lang w:val="en-US"/>
        </w:rPr>
        <w:t>Ch</w:t>
      </w:r>
      <w:r>
        <w:rPr>
          <w:rFonts w:ascii="Times New Roman" w:hAnsi="Times New Roman"/>
          <w:sz w:val="20"/>
          <w:szCs w:val="20"/>
          <w:lang w:val="en-US"/>
        </w:rPr>
        <w:t>.</w:t>
      </w:r>
      <w:r w:rsidRPr="006C4AAB">
        <w:rPr>
          <w:rFonts w:ascii="Times New Roman" w:hAnsi="Times New Roman"/>
          <w:sz w:val="20"/>
          <w:szCs w:val="20"/>
          <w:lang w:val="en-US"/>
        </w:rPr>
        <w:t xml:space="preserve"> Janssens</w:t>
      </w:r>
      <w:r>
        <w:rPr>
          <w:rFonts w:ascii="Times New Roman" w:hAnsi="Times New Roman"/>
          <w:sz w:val="20"/>
          <w:szCs w:val="20"/>
          <w:lang w:val="en-US"/>
        </w:rPr>
        <w:t>,</w:t>
      </w:r>
      <w:r w:rsidRPr="006C4AAB">
        <w:rPr>
          <w:rFonts w:ascii="Times New Roman" w:hAnsi="Times New Roman"/>
          <w:sz w:val="20"/>
          <w:szCs w:val="20"/>
          <w:lang w:val="en-US"/>
        </w:rPr>
        <w:t xml:space="preserve"> </w:t>
      </w:r>
      <w:r w:rsidRPr="006C4AAB">
        <w:rPr>
          <w:rFonts w:ascii="Times New Roman" w:hAnsi="Times New Roman"/>
          <w:i/>
          <w:sz w:val="20"/>
          <w:szCs w:val="20"/>
          <w:lang w:val="en-US"/>
        </w:rPr>
        <w:t>The Principle of Mutual Recognition in EU Law</w:t>
      </w:r>
      <w:r>
        <w:rPr>
          <w:rFonts w:ascii="Times New Roman" w:hAnsi="Times New Roman"/>
          <w:sz w:val="20"/>
          <w:szCs w:val="20"/>
          <w:lang w:val="en-US"/>
        </w:rPr>
        <w:t xml:space="preserve">, Oxford University Press, Oxford 2013; L. Klimek, </w:t>
      </w:r>
      <w:r w:rsidRPr="00F253E6">
        <w:rPr>
          <w:rFonts w:ascii="Times New Roman" w:hAnsi="Times New Roman"/>
          <w:sz w:val="20"/>
          <w:szCs w:val="20"/>
          <w:lang w:val="en-US"/>
        </w:rPr>
        <w:t>Mutual Recognition of Judicial Decisions in European Criminal Law</w:t>
      </w:r>
      <w:r>
        <w:rPr>
          <w:rFonts w:ascii="Times New Roman" w:hAnsi="Times New Roman"/>
          <w:sz w:val="20"/>
          <w:szCs w:val="20"/>
          <w:lang w:val="en-US"/>
        </w:rPr>
        <w:t xml:space="preserve">, Springer 2017; </w:t>
      </w:r>
      <w:r w:rsidRPr="00BF44C4">
        <w:rPr>
          <w:rFonts w:ascii="Times New Roman" w:hAnsi="Times New Roman"/>
          <w:sz w:val="20"/>
          <w:szCs w:val="20"/>
          <w:lang w:val="en-US"/>
        </w:rPr>
        <w:t xml:space="preserve">W van </w:t>
      </w:r>
      <w:proofErr w:type="spellStart"/>
      <w:r w:rsidRPr="00BF44C4">
        <w:rPr>
          <w:rFonts w:ascii="Times New Roman" w:hAnsi="Times New Roman"/>
          <w:sz w:val="20"/>
          <w:szCs w:val="20"/>
          <w:lang w:val="en-US"/>
        </w:rPr>
        <w:t>Ballegooij</w:t>
      </w:r>
      <w:proofErr w:type="spellEnd"/>
      <w:r>
        <w:rPr>
          <w:rFonts w:ascii="Times New Roman" w:hAnsi="Times New Roman"/>
          <w:sz w:val="20"/>
          <w:szCs w:val="20"/>
          <w:lang w:val="en-US"/>
        </w:rPr>
        <w:t xml:space="preserve">, </w:t>
      </w:r>
      <w:r w:rsidRPr="00BF44C4">
        <w:rPr>
          <w:rFonts w:ascii="Times New Roman" w:hAnsi="Times New Roman"/>
          <w:i/>
          <w:sz w:val="20"/>
          <w:szCs w:val="20"/>
          <w:lang w:val="en-US"/>
        </w:rPr>
        <w:t>The Nature of Mutual Recognition in European Law</w:t>
      </w:r>
      <w:r>
        <w:rPr>
          <w:rFonts w:ascii="Times New Roman" w:hAnsi="Times New Roman"/>
          <w:sz w:val="20"/>
          <w:szCs w:val="20"/>
          <w:lang w:val="en-US"/>
        </w:rPr>
        <w:t xml:space="preserve">, </w:t>
      </w:r>
      <w:proofErr w:type="spellStart"/>
      <w:r>
        <w:rPr>
          <w:rFonts w:ascii="Times New Roman" w:hAnsi="Times New Roman"/>
          <w:sz w:val="20"/>
          <w:szCs w:val="20"/>
          <w:lang w:val="en-US"/>
        </w:rPr>
        <w:t>Intersentia</w:t>
      </w:r>
      <w:proofErr w:type="spellEnd"/>
      <w:r>
        <w:rPr>
          <w:rFonts w:ascii="Times New Roman" w:hAnsi="Times New Roman"/>
          <w:sz w:val="20"/>
          <w:szCs w:val="20"/>
          <w:lang w:val="en-US"/>
        </w:rPr>
        <w:t xml:space="preserve">, Antwerp 2015; </w:t>
      </w:r>
      <w:r w:rsidRPr="00827F3B">
        <w:rPr>
          <w:rFonts w:ascii="Times New Roman" w:hAnsi="Times New Roman"/>
          <w:sz w:val="20"/>
          <w:szCs w:val="20"/>
          <w:lang w:val="en-US"/>
        </w:rPr>
        <w:t>E</w:t>
      </w:r>
      <w:r>
        <w:rPr>
          <w:rFonts w:ascii="Times New Roman" w:hAnsi="Times New Roman"/>
          <w:sz w:val="20"/>
          <w:szCs w:val="20"/>
          <w:lang w:val="en-US"/>
        </w:rPr>
        <w:t xml:space="preserve">. </w:t>
      </w:r>
      <w:proofErr w:type="spellStart"/>
      <w:r>
        <w:rPr>
          <w:rFonts w:ascii="Times New Roman" w:hAnsi="Times New Roman"/>
          <w:sz w:val="20"/>
          <w:szCs w:val="20"/>
          <w:lang w:val="en-US"/>
        </w:rPr>
        <w:t>Xanthopoulou</w:t>
      </w:r>
      <w:proofErr w:type="spellEnd"/>
      <w:r>
        <w:rPr>
          <w:rFonts w:ascii="Times New Roman" w:hAnsi="Times New Roman"/>
          <w:sz w:val="20"/>
          <w:szCs w:val="20"/>
          <w:lang w:val="en-US"/>
        </w:rPr>
        <w:t xml:space="preserve">, </w:t>
      </w:r>
      <w:r w:rsidRPr="00827F3B">
        <w:rPr>
          <w:rFonts w:ascii="Times New Roman" w:hAnsi="Times New Roman"/>
          <w:i/>
          <w:sz w:val="20"/>
          <w:szCs w:val="20"/>
          <w:lang w:val="en-US"/>
        </w:rPr>
        <w:t>Mutual trust and rights in EU criminal and asylum law: Three phases of evolution and the uncharted territory beyond blind trust</w:t>
      </w:r>
      <w:r>
        <w:rPr>
          <w:rFonts w:ascii="Times New Roman" w:hAnsi="Times New Roman"/>
          <w:sz w:val="20"/>
          <w:szCs w:val="20"/>
          <w:lang w:val="en-US"/>
        </w:rPr>
        <w:t>,</w:t>
      </w:r>
      <w:r w:rsidRPr="00827F3B">
        <w:rPr>
          <w:rFonts w:ascii="Times New Roman" w:hAnsi="Times New Roman"/>
          <w:sz w:val="20"/>
          <w:szCs w:val="20"/>
          <w:lang w:val="en-US"/>
        </w:rPr>
        <w:t xml:space="preserve"> </w:t>
      </w:r>
      <w:r>
        <w:rPr>
          <w:rFonts w:ascii="Times New Roman" w:hAnsi="Times New Roman"/>
          <w:sz w:val="20"/>
          <w:szCs w:val="20"/>
          <w:lang w:val="en-US"/>
        </w:rPr>
        <w:t xml:space="preserve">55 </w:t>
      </w:r>
      <w:proofErr w:type="spellStart"/>
      <w:r>
        <w:rPr>
          <w:rFonts w:ascii="Times New Roman" w:hAnsi="Times New Roman"/>
          <w:sz w:val="20"/>
          <w:szCs w:val="20"/>
          <w:lang w:val="en-US"/>
        </w:rPr>
        <w:t>CMLRev</w:t>
      </w:r>
      <w:proofErr w:type="spellEnd"/>
      <w:r>
        <w:rPr>
          <w:rFonts w:ascii="Times New Roman" w:hAnsi="Times New Roman"/>
          <w:sz w:val="20"/>
          <w:szCs w:val="20"/>
          <w:lang w:val="en-US"/>
        </w:rPr>
        <w:t xml:space="preserve">. </w:t>
      </w:r>
      <w:r w:rsidRPr="00827F3B">
        <w:rPr>
          <w:rFonts w:ascii="Times New Roman" w:hAnsi="Times New Roman"/>
          <w:sz w:val="20"/>
          <w:szCs w:val="20"/>
          <w:lang w:val="en-US"/>
        </w:rPr>
        <w:t>(2018) pp. 489–509</w:t>
      </w:r>
      <w:r>
        <w:rPr>
          <w:rFonts w:ascii="Times New Roman" w:hAnsi="Times New Roman"/>
          <w:sz w:val="20"/>
          <w:szCs w:val="20"/>
          <w:lang w:val="en-US"/>
        </w:rPr>
        <w:t xml:space="preserve">. For doubts if this was the right way forward see, for instance, S. Peers, </w:t>
      </w:r>
      <w:r w:rsidRPr="009278A5">
        <w:rPr>
          <w:rFonts w:ascii="Times New Roman" w:hAnsi="Times New Roman"/>
          <w:i/>
          <w:sz w:val="20"/>
          <w:szCs w:val="20"/>
          <w:lang w:val="en-US"/>
        </w:rPr>
        <w:t xml:space="preserve">Mutual recognition and criminal law in the European Union. Has the Council got it </w:t>
      </w:r>
      <w:proofErr w:type="gramStart"/>
      <w:r w:rsidRPr="009278A5">
        <w:rPr>
          <w:rFonts w:ascii="Times New Roman" w:hAnsi="Times New Roman"/>
          <w:i/>
          <w:sz w:val="20"/>
          <w:szCs w:val="20"/>
          <w:lang w:val="en-US"/>
        </w:rPr>
        <w:t>wrong?</w:t>
      </w:r>
      <w:r>
        <w:rPr>
          <w:rFonts w:ascii="Times New Roman" w:hAnsi="Times New Roman"/>
          <w:sz w:val="20"/>
          <w:szCs w:val="20"/>
          <w:lang w:val="en-US"/>
        </w:rPr>
        <w:t>,</w:t>
      </w:r>
      <w:proofErr w:type="gramEnd"/>
      <w:r>
        <w:rPr>
          <w:rFonts w:ascii="Times New Roman" w:hAnsi="Times New Roman"/>
          <w:sz w:val="20"/>
          <w:szCs w:val="20"/>
          <w:lang w:val="en-US"/>
        </w:rPr>
        <w:t xml:space="preserve"> 41 </w:t>
      </w:r>
      <w:proofErr w:type="spellStart"/>
      <w:r>
        <w:rPr>
          <w:rFonts w:ascii="Times New Roman" w:hAnsi="Times New Roman"/>
          <w:sz w:val="20"/>
          <w:szCs w:val="20"/>
          <w:lang w:val="en-US"/>
        </w:rPr>
        <w:t>CMLRev</w:t>
      </w:r>
      <w:proofErr w:type="spellEnd"/>
      <w:r>
        <w:rPr>
          <w:rFonts w:ascii="Times New Roman" w:hAnsi="Times New Roman"/>
          <w:sz w:val="20"/>
          <w:szCs w:val="20"/>
          <w:lang w:val="en-US"/>
        </w:rPr>
        <w:t xml:space="preserve">. (2004) pp. 5-36. </w:t>
      </w:r>
    </w:p>
  </w:footnote>
  <w:footnote w:id="5">
    <w:p w14:paraId="58DE8E37" w14:textId="1A9BF302" w:rsidR="003D4C37" w:rsidRPr="00CF6B55" w:rsidRDefault="003D4C37" w:rsidP="00B024E1">
      <w:pPr>
        <w:pStyle w:val="FootnoteText"/>
        <w:jc w:val="both"/>
      </w:pPr>
      <w:r>
        <w:rPr>
          <w:rStyle w:val="FootnoteReference"/>
        </w:rPr>
        <w:footnoteRef/>
      </w:r>
      <w:r>
        <w:t xml:space="preserve"> See, </w:t>
      </w:r>
      <w:r w:rsidRPr="00B024E1">
        <w:rPr>
          <w:i/>
        </w:rPr>
        <w:t>exempli gratia</w:t>
      </w:r>
      <w:r>
        <w:t xml:space="preserve">, V. </w:t>
      </w:r>
      <w:proofErr w:type="spellStart"/>
      <w:r>
        <w:t>Mitsilegas</w:t>
      </w:r>
      <w:proofErr w:type="spellEnd"/>
      <w:r>
        <w:t xml:space="preserve">, </w:t>
      </w:r>
      <w:r w:rsidRPr="00B024E1">
        <w:rPr>
          <w:i/>
        </w:rPr>
        <w:t>The Limits of Mutual Trust on Europe’s Freedom, Security and Justice. From Automatic Inter-State Cooperation to the Slow Emergence of the Individual</w:t>
      </w:r>
      <w:r>
        <w:t xml:space="preserve">, 31 YEL (2012) </w:t>
      </w:r>
      <w:r w:rsidRPr="00B024E1">
        <w:t xml:space="preserve">2012, </w:t>
      </w:r>
      <w:r>
        <w:t>pp.</w:t>
      </w:r>
      <w:r w:rsidRPr="00B024E1">
        <w:t xml:space="preserve"> 319–372</w:t>
      </w:r>
      <w:r>
        <w:t>.</w:t>
      </w:r>
    </w:p>
  </w:footnote>
  <w:footnote w:id="6">
    <w:p w14:paraId="224B5C03" w14:textId="734B429A" w:rsidR="003D4C37" w:rsidRPr="00EF2246" w:rsidRDefault="003D4C37">
      <w:pPr>
        <w:pStyle w:val="Footnote"/>
        <w:jc w:val="both"/>
        <w:rPr>
          <w:sz w:val="20"/>
          <w:szCs w:val="20"/>
        </w:rPr>
      </w:pPr>
      <w:r w:rsidRPr="00EF2246">
        <w:rPr>
          <w:rFonts w:ascii="Times New Roman" w:eastAsia="Times New Roman" w:hAnsi="Times New Roman" w:cs="Times New Roman"/>
          <w:sz w:val="20"/>
          <w:szCs w:val="20"/>
          <w:vertAlign w:val="superscript"/>
        </w:rPr>
        <w:footnoteRef/>
      </w:r>
      <w:r w:rsidRPr="00EF2246">
        <w:rPr>
          <w:rFonts w:ascii="Times New Roman" w:hAnsi="Times New Roman"/>
          <w:sz w:val="20"/>
          <w:szCs w:val="20"/>
        </w:rPr>
        <w:t xml:space="preserve"> </w:t>
      </w:r>
      <w:r>
        <w:rPr>
          <w:rFonts w:ascii="Times New Roman" w:hAnsi="Times New Roman"/>
          <w:sz w:val="20"/>
          <w:szCs w:val="20"/>
        </w:rPr>
        <w:t xml:space="preserve">See, for instance the reference for preliminary ruling submitted by the Finnish </w:t>
      </w:r>
      <w:proofErr w:type="spellStart"/>
      <w:r w:rsidRPr="00062FAA">
        <w:rPr>
          <w:rFonts w:ascii="Times New Roman" w:hAnsi="Times New Roman"/>
          <w:sz w:val="20"/>
          <w:szCs w:val="20"/>
        </w:rPr>
        <w:t>Korkein</w:t>
      </w:r>
      <w:proofErr w:type="spellEnd"/>
      <w:r w:rsidRPr="00062FAA">
        <w:rPr>
          <w:rFonts w:ascii="Times New Roman" w:hAnsi="Times New Roman"/>
          <w:sz w:val="20"/>
          <w:szCs w:val="20"/>
        </w:rPr>
        <w:t xml:space="preserve"> </w:t>
      </w:r>
      <w:proofErr w:type="spellStart"/>
      <w:r w:rsidRPr="00062FAA">
        <w:rPr>
          <w:rFonts w:ascii="Times New Roman" w:hAnsi="Times New Roman"/>
          <w:sz w:val="20"/>
          <w:szCs w:val="20"/>
        </w:rPr>
        <w:t>oikeus</w:t>
      </w:r>
      <w:proofErr w:type="spellEnd"/>
      <w:r>
        <w:rPr>
          <w:rFonts w:ascii="Times New Roman" w:hAnsi="Times New Roman"/>
          <w:sz w:val="20"/>
          <w:szCs w:val="20"/>
        </w:rPr>
        <w:t xml:space="preserve"> in case </w:t>
      </w:r>
      <w:r w:rsidRPr="0007426C">
        <w:rPr>
          <w:rFonts w:ascii="Times New Roman" w:hAnsi="Times New Roman"/>
          <w:sz w:val="20"/>
          <w:szCs w:val="20"/>
        </w:rPr>
        <w:t>C-105/10</w:t>
      </w:r>
      <w:r>
        <w:rPr>
          <w:rFonts w:ascii="Times New Roman" w:hAnsi="Times New Roman"/>
          <w:sz w:val="20"/>
          <w:szCs w:val="20"/>
        </w:rPr>
        <w:t xml:space="preserve"> </w:t>
      </w:r>
      <w:r w:rsidRPr="00062FAA">
        <w:rPr>
          <w:rFonts w:ascii="Times New Roman" w:hAnsi="Times New Roman"/>
          <w:i/>
          <w:sz w:val="20"/>
          <w:szCs w:val="20"/>
        </w:rPr>
        <w:t xml:space="preserve">Public prosecutor v Malik </w:t>
      </w:r>
      <w:proofErr w:type="spellStart"/>
      <w:r w:rsidRPr="00062FAA">
        <w:rPr>
          <w:rFonts w:ascii="Times New Roman" w:hAnsi="Times New Roman"/>
          <w:i/>
          <w:sz w:val="20"/>
          <w:szCs w:val="20"/>
        </w:rPr>
        <w:t>Gataev</w:t>
      </w:r>
      <w:proofErr w:type="spellEnd"/>
      <w:r w:rsidRPr="00062FAA">
        <w:rPr>
          <w:rFonts w:ascii="Times New Roman" w:hAnsi="Times New Roman"/>
          <w:i/>
          <w:sz w:val="20"/>
          <w:szCs w:val="20"/>
        </w:rPr>
        <w:t xml:space="preserve">, </w:t>
      </w:r>
      <w:proofErr w:type="spellStart"/>
      <w:r w:rsidRPr="00062FAA">
        <w:rPr>
          <w:rFonts w:ascii="Times New Roman" w:hAnsi="Times New Roman"/>
          <w:i/>
          <w:sz w:val="20"/>
          <w:szCs w:val="20"/>
        </w:rPr>
        <w:t>Khadizhat</w:t>
      </w:r>
      <w:proofErr w:type="spellEnd"/>
      <w:r w:rsidRPr="00062FAA">
        <w:rPr>
          <w:rFonts w:ascii="Times New Roman" w:hAnsi="Times New Roman"/>
          <w:i/>
          <w:sz w:val="20"/>
          <w:szCs w:val="20"/>
        </w:rPr>
        <w:t xml:space="preserve"> </w:t>
      </w:r>
      <w:proofErr w:type="spellStart"/>
      <w:r w:rsidRPr="00062FAA">
        <w:rPr>
          <w:rFonts w:ascii="Times New Roman" w:hAnsi="Times New Roman"/>
          <w:i/>
          <w:sz w:val="20"/>
          <w:szCs w:val="20"/>
        </w:rPr>
        <w:t>Gataeva</w:t>
      </w:r>
      <w:proofErr w:type="spellEnd"/>
      <w:r>
        <w:rPr>
          <w:rFonts w:ascii="Times New Roman" w:hAnsi="Times New Roman"/>
          <w:sz w:val="20"/>
          <w:szCs w:val="20"/>
        </w:rPr>
        <w:t xml:space="preserve">, OJ 2010, C 100/32. The reference, however, was subsequently withdrawn by the referring court and </w:t>
      </w:r>
      <w:r w:rsidR="00BB6C54">
        <w:rPr>
          <w:rFonts w:ascii="Times New Roman" w:hAnsi="Times New Roman"/>
          <w:sz w:val="20"/>
          <w:szCs w:val="20"/>
        </w:rPr>
        <w:t xml:space="preserve">removed </w:t>
      </w:r>
      <w:r>
        <w:rPr>
          <w:rFonts w:ascii="Times New Roman" w:hAnsi="Times New Roman"/>
          <w:sz w:val="20"/>
          <w:szCs w:val="20"/>
        </w:rPr>
        <w:t xml:space="preserve">from the register of the Court of Justice. </w:t>
      </w:r>
    </w:p>
  </w:footnote>
  <w:footnote w:id="7">
    <w:p w14:paraId="4015A0F4" w14:textId="24F43BBF" w:rsidR="003D4C37" w:rsidRPr="00EF2246" w:rsidRDefault="003D4C37">
      <w:pPr>
        <w:pStyle w:val="Footnote"/>
        <w:jc w:val="both"/>
        <w:rPr>
          <w:sz w:val="20"/>
          <w:szCs w:val="20"/>
        </w:rPr>
      </w:pPr>
      <w:r w:rsidRPr="00EF2246">
        <w:rPr>
          <w:rFonts w:ascii="Times New Roman" w:eastAsia="Times New Roman" w:hAnsi="Times New Roman" w:cs="Times New Roman"/>
          <w:sz w:val="20"/>
          <w:szCs w:val="20"/>
          <w:vertAlign w:val="superscript"/>
        </w:rPr>
        <w:footnoteRef/>
      </w:r>
      <w:r w:rsidRPr="00EF2246">
        <w:rPr>
          <w:rFonts w:ascii="Times New Roman" w:hAnsi="Times New Roman"/>
          <w:sz w:val="20"/>
          <w:szCs w:val="20"/>
        </w:rPr>
        <w:t xml:space="preserve"> Post Lisbon Treaty this stems from Article 19 TEU, as confirmed by the Court of Justice, </w:t>
      </w:r>
      <w:r w:rsidRPr="00E327BE">
        <w:rPr>
          <w:rFonts w:ascii="Times New Roman" w:hAnsi="Times New Roman"/>
          <w:i/>
          <w:sz w:val="20"/>
          <w:szCs w:val="20"/>
        </w:rPr>
        <w:t>inter alia</w:t>
      </w:r>
      <w:r w:rsidRPr="00EF2246">
        <w:rPr>
          <w:rFonts w:ascii="Times New Roman" w:hAnsi="Times New Roman"/>
          <w:sz w:val="20"/>
          <w:szCs w:val="20"/>
        </w:rPr>
        <w:t xml:space="preserve">, in case C-64/16 </w:t>
      </w:r>
      <w:proofErr w:type="spellStart"/>
      <w:r w:rsidRPr="00E327BE">
        <w:rPr>
          <w:rFonts w:ascii="Times New Roman" w:hAnsi="Times New Roman"/>
          <w:i/>
          <w:sz w:val="20"/>
          <w:szCs w:val="20"/>
        </w:rPr>
        <w:t>Associação</w:t>
      </w:r>
      <w:proofErr w:type="spellEnd"/>
      <w:r w:rsidRPr="00E327BE">
        <w:rPr>
          <w:rFonts w:ascii="Times New Roman" w:hAnsi="Times New Roman"/>
          <w:i/>
          <w:sz w:val="20"/>
          <w:szCs w:val="20"/>
        </w:rPr>
        <w:t xml:space="preserve"> </w:t>
      </w:r>
      <w:proofErr w:type="spellStart"/>
      <w:r w:rsidRPr="00E327BE">
        <w:rPr>
          <w:rFonts w:ascii="Times New Roman" w:hAnsi="Times New Roman"/>
          <w:i/>
          <w:sz w:val="20"/>
          <w:szCs w:val="20"/>
        </w:rPr>
        <w:t>Sindical</w:t>
      </w:r>
      <w:proofErr w:type="spellEnd"/>
      <w:r w:rsidRPr="00E327BE">
        <w:rPr>
          <w:rFonts w:ascii="Times New Roman" w:hAnsi="Times New Roman"/>
          <w:i/>
          <w:sz w:val="20"/>
          <w:szCs w:val="20"/>
        </w:rPr>
        <w:t xml:space="preserve"> dos </w:t>
      </w:r>
      <w:proofErr w:type="spellStart"/>
      <w:r w:rsidRPr="00E327BE">
        <w:rPr>
          <w:rFonts w:ascii="Times New Roman" w:hAnsi="Times New Roman"/>
          <w:i/>
          <w:sz w:val="20"/>
          <w:szCs w:val="20"/>
        </w:rPr>
        <w:t>Juízes</w:t>
      </w:r>
      <w:proofErr w:type="spellEnd"/>
      <w:r w:rsidRPr="00E327BE">
        <w:rPr>
          <w:rFonts w:ascii="Times New Roman" w:hAnsi="Times New Roman"/>
          <w:i/>
          <w:sz w:val="20"/>
          <w:szCs w:val="20"/>
        </w:rPr>
        <w:t xml:space="preserve"> </w:t>
      </w:r>
      <w:proofErr w:type="spellStart"/>
      <w:r w:rsidRPr="00E327BE">
        <w:rPr>
          <w:rFonts w:ascii="Times New Roman" w:hAnsi="Times New Roman"/>
          <w:i/>
          <w:sz w:val="20"/>
          <w:szCs w:val="20"/>
        </w:rPr>
        <w:t>Portugueses</w:t>
      </w:r>
      <w:proofErr w:type="spellEnd"/>
      <w:r w:rsidRPr="00E327BE">
        <w:rPr>
          <w:rFonts w:ascii="Times New Roman" w:hAnsi="Times New Roman"/>
          <w:i/>
          <w:sz w:val="20"/>
          <w:szCs w:val="20"/>
        </w:rPr>
        <w:t xml:space="preserve"> v Tribunal de </w:t>
      </w:r>
      <w:proofErr w:type="spellStart"/>
      <w:r w:rsidRPr="00E327BE">
        <w:rPr>
          <w:rFonts w:ascii="Times New Roman" w:hAnsi="Times New Roman"/>
          <w:i/>
          <w:sz w:val="20"/>
          <w:szCs w:val="20"/>
        </w:rPr>
        <w:t>Contas</w:t>
      </w:r>
      <w:proofErr w:type="spellEnd"/>
      <w:r>
        <w:rPr>
          <w:rFonts w:ascii="Times New Roman" w:hAnsi="Times New Roman"/>
          <w:sz w:val="20"/>
          <w:szCs w:val="20"/>
        </w:rPr>
        <w:t xml:space="preserve">, </w:t>
      </w:r>
      <w:r w:rsidRPr="00E327BE">
        <w:rPr>
          <w:rFonts w:ascii="Times New Roman" w:hAnsi="Times New Roman"/>
          <w:sz w:val="20"/>
          <w:szCs w:val="20"/>
        </w:rPr>
        <w:t>ECLI:EU:C:2018:117</w:t>
      </w:r>
      <w:r>
        <w:rPr>
          <w:rFonts w:ascii="Times New Roman" w:hAnsi="Times New Roman"/>
          <w:sz w:val="20"/>
          <w:szCs w:val="20"/>
        </w:rPr>
        <w:t xml:space="preserve">. For an academic appraisal, see </w:t>
      </w:r>
      <w:r w:rsidRPr="00366F7A">
        <w:rPr>
          <w:rFonts w:ascii="Times New Roman" w:hAnsi="Times New Roman"/>
          <w:i/>
          <w:sz w:val="20"/>
          <w:szCs w:val="20"/>
        </w:rPr>
        <w:t>exempli gratia</w:t>
      </w:r>
      <w:r>
        <w:rPr>
          <w:rFonts w:ascii="Times New Roman" w:hAnsi="Times New Roman"/>
          <w:sz w:val="20"/>
          <w:szCs w:val="20"/>
        </w:rPr>
        <w:t xml:space="preserve">, </w:t>
      </w:r>
      <w:r w:rsidRPr="007C1CFB">
        <w:rPr>
          <w:rFonts w:ascii="Times New Roman" w:hAnsi="Times New Roman"/>
          <w:sz w:val="20"/>
          <w:szCs w:val="20"/>
        </w:rPr>
        <w:t>M</w:t>
      </w:r>
      <w:r>
        <w:rPr>
          <w:rFonts w:ascii="Times New Roman" w:hAnsi="Times New Roman"/>
          <w:sz w:val="20"/>
          <w:szCs w:val="20"/>
        </w:rPr>
        <w:t>.</w:t>
      </w:r>
      <w:r w:rsidRPr="007C1CFB">
        <w:rPr>
          <w:rFonts w:ascii="Times New Roman" w:hAnsi="Times New Roman"/>
          <w:sz w:val="20"/>
          <w:szCs w:val="20"/>
        </w:rPr>
        <w:t xml:space="preserve"> </w:t>
      </w:r>
      <w:proofErr w:type="spellStart"/>
      <w:r w:rsidRPr="007C1CFB">
        <w:rPr>
          <w:rFonts w:ascii="Times New Roman" w:hAnsi="Times New Roman"/>
          <w:sz w:val="20"/>
          <w:szCs w:val="20"/>
        </w:rPr>
        <w:t>Bonelli</w:t>
      </w:r>
      <w:proofErr w:type="spellEnd"/>
      <w:r w:rsidRPr="007C1CFB">
        <w:rPr>
          <w:rFonts w:ascii="Times New Roman" w:hAnsi="Times New Roman"/>
          <w:sz w:val="20"/>
          <w:szCs w:val="20"/>
        </w:rPr>
        <w:t xml:space="preserve"> and M</w:t>
      </w:r>
      <w:r>
        <w:rPr>
          <w:rFonts w:ascii="Times New Roman" w:hAnsi="Times New Roman"/>
          <w:sz w:val="20"/>
          <w:szCs w:val="20"/>
        </w:rPr>
        <w:t>.</w:t>
      </w:r>
      <w:r w:rsidRPr="007C1CFB">
        <w:rPr>
          <w:rFonts w:ascii="Times New Roman" w:hAnsi="Times New Roman"/>
          <w:sz w:val="20"/>
          <w:szCs w:val="20"/>
        </w:rPr>
        <w:t xml:space="preserve"> </w:t>
      </w:r>
      <w:proofErr w:type="spellStart"/>
      <w:r w:rsidRPr="007C1CFB">
        <w:rPr>
          <w:rFonts w:ascii="Times New Roman" w:hAnsi="Times New Roman"/>
          <w:sz w:val="20"/>
          <w:szCs w:val="20"/>
        </w:rPr>
        <w:t>Claes</w:t>
      </w:r>
      <w:proofErr w:type="spellEnd"/>
      <w:r>
        <w:rPr>
          <w:rFonts w:ascii="Times New Roman" w:hAnsi="Times New Roman"/>
          <w:sz w:val="20"/>
          <w:szCs w:val="20"/>
        </w:rPr>
        <w:t xml:space="preserve">, </w:t>
      </w:r>
      <w:r w:rsidRPr="0010102D">
        <w:rPr>
          <w:rFonts w:ascii="Times New Roman" w:hAnsi="Times New Roman"/>
          <w:i/>
          <w:sz w:val="20"/>
          <w:szCs w:val="20"/>
        </w:rPr>
        <w:t xml:space="preserve">Judicial serendipity: how Portuguese judges came to the rescue of the Polish judiciary: ECJ 27 February 2018, Case C-64/16, </w:t>
      </w:r>
      <w:proofErr w:type="spellStart"/>
      <w:r w:rsidRPr="0010102D">
        <w:rPr>
          <w:rFonts w:ascii="Times New Roman" w:hAnsi="Times New Roman"/>
          <w:i/>
          <w:sz w:val="20"/>
          <w:szCs w:val="20"/>
        </w:rPr>
        <w:t>Associação</w:t>
      </w:r>
      <w:proofErr w:type="spellEnd"/>
      <w:r w:rsidRPr="0010102D">
        <w:rPr>
          <w:rFonts w:ascii="Times New Roman" w:hAnsi="Times New Roman"/>
          <w:i/>
          <w:sz w:val="20"/>
          <w:szCs w:val="20"/>
        </w:rPr>
        <w:t xml:space="preserve"> </w:t>
      </w:r>
      <w:proofErr w:type="spellStart"/>
      <w:r w:rsidRPr="0010102D">
        <w:rPr>
          <w:rFonts w:ascii="Times New Roman" w:hAnsi="Times New Roman"/>
          <w:i/>
          <w:sz w:val="20"/>
          <w:szCs w:val="20"/>
        </w:rPr>
        <w:t>Sindical</w:t>
      </w:r>
      <w:proofErr w:type="spellEnd"/>
      <w:r w:rsidRPr="0010102D">
        <w:rPr>
          <w:rFonts w:ascii="Times New Roman" w:hAnsi="Times New Roman"/>
          <w:i/>
          <w:sz w:val="20"/>
          <w:szCs w:val="20"/>
        </w:rPr>
        <w:t xml:space="preserve"> dos </w:t>
      </w:r>
      <w:proofErr w:type="spellStart"/>
      <w:r w:rsidRPr="0010102D">
        <w:rPr>
          <w:rFonts w:ascii="Times New Roman" w:hAnsi="Times New Roman"/>
          <w:i/>
          <w:sz w:val="20"/>
          <w:szCs w:val="20"/>
        </w:rPr>
        <w:t>Juízes</w:t>
      </w:r>
      <w:proofErr w:type="spellEnd"/>
      <w:r w:rsidRPr="0010102D">
        <w:rPr>
          <w:rFonts w:ascii="Times New Roman" w:hAnsi="Times New Roman"/>
          <w:i/>
          <w:sz w:val="20"/>
          <w:szCs w:val="20"/>
        </w:rPr>
        <w:t xml:space="preserve"> </w:t>
      </w:r>
      <w:proofErr w:type="spellStart"/>
      <w:r w:rsidRPr="0010102D">
        <w:rPr>
          <w:rFonts w:ascii="Times New Roman" w:hAnsi="Times New Roman"/>
          <w:i/>
          <w:sz w:val="20"/>
          <w:szCs w:val="20"/>
        </w:rPr>
        <w:t>Portugueses</w:t>
      </w:r>
      <w:proofErr w:type="spellEnd"/>
      <w:r>
        <w:rPr>
          <w:rFonts w:ascii="Times New Roman" w:hAnsi="Times New Roman"/>
          <w:sz w:val="20"/>
          <w:szCs w:val="20"/>
        </w:rPr>
        <w:t xml:space="preserve">, 14 </w:t>
      </w:r>
      <w:proofErr w:type="spellStart"/>
      <w:r>
        <w:rPr>
          <w:rFonts w:ascii="Times New Roman" w:hAnsi="Times New Roman"/>
          <w:sz w:val="20"/>
          <w:szCs w:val="20"/>
        </w:rPr>
        <w:t>EUConst</w:t>
      </w:r>
      <w:proofErr w:type="spellEnd"/>
      <w:r>
        <w:rPr>
          <w:rFonts w:ascii="Times New Roman" w:hAnsi="Times New Roman"/>
          <w:sz w:val="20"/>
          <w:szCs w:val="20"/>
        </w:rPr>
        <w:t xml:space="preserve"> (2018) pp. </w:t>
      </w:r>
      <w:r w:rsidRPr="0010102D">
        <w:rPr>
          <w:rFonts w:ascii="Times New Roman" w:hAnsi="Times New Roman"/>
          <w:sz w:val="20"/>
          <w:szCs w:val="20"/>
        </w:rPr>
        <w:t>622-643</w:t>
      </w:r>
      <w:r>
        <w:rPr>
          <w:rFonts w:ascii="Times New Roman" w:hAnsi="Times New Roman"/>
          <w:sz w:val="20"/>
          <w:szCs w:val="20"/>
        </w:rPr>
        <w:t>.</w:t>
      </w:r>
    </w:p>
  </w:footnote>
  <w:footnote w:id="8">
    <w:p w14:paraId="18CC7D85" w14:textId="371D692E" w:rsidR="003D4C37" w:rsidRPr="00EF2246" w:rsidRDefault="003D4C37">
      <w:pPr>
        <w:pStyle w:val="Footnote"/>
        <w:jc w:val="both"/>
        <w:rPr>
          <w:sz w:val="20"/>
          <w:szCs w:val="20"/>
        </w:rPr>
      </w:pPr>
      <w:r w:rsidRPr="00EF2246">
        <w:rPr>
          <w:rFonts w:ascii="Times New Roman" w:eastAsia="Times New Roman" w:hAnsi="Times New Roman" w:cs="Times New Roman"/>
          <w:sz w:val="20"/>
          <w:szCs w:val="20"/>
          <w:vertAlign w:val="superscript"/>
        </w:rPr>
        <w:footnoteRef/>
      </w:r>
      <w:r w:rsidRPr="00EF2246">
        <w:rPr>
          <w:rFonts w:ascii="Times New Roman" w:hAnsi="Times New Roman"/>
          <w:sz w:val="20"/>
          <w:szCs w:val="20"/>
        </w:rPr>
        <w:t xml:space="preserve"> </w:t>
      </w:r>
      <w:r>
        <w:rPr>
          <w:rFonts w:ascii="Times New Roman" w:hAnsi="Times New Roman"/>
          <w:sz w:val="20"/>
          <w:szCs w:val="20"/>
        </w:rPr>
        <w:t xml:space="preserve">See, </w:t>
      </w:r>
      <w:r w:rsidRPr="00A10685">
        <w:rPr>
          <w:rFonts w:ascii="Times New Roman" w:hAnsi="Times New Roman"/>
          <w:i/>
          <w:sz w:val="20"/>
          <w:szCs w:val="20"/>
        </w:rPr>
        <w:t>inter alia</w:t>
      </w:r>
      <w:r>
        <w:rPr>
          <w:rFonts w:ascii="Times New Roman" w:hAnsi="Times New Roman"/>
          <w:sz w:val="20"/>
          <w:szCs w:val="20"/>
        </w:rPr>
        <w:t xml:space="preserve">, V. </w:t>
      </w:r>
      <w:proofErr w:type="spellStart"/>
      <w:r>
        <w:rPr>
          <w:rFonts w:ascii="Times New Roman" w:hAnsi="Times New Roman"/>
          <w:sz w:val="20"/>
          <w:szCs w:val="20"/>
        </w:rPr>
        <w:t>Mitsilegas</w:t>
      </w:r>
      <w:proofErr w:type="spellEnd"/>
      <w:r>
        <w:rPr>
          <w:rFonts w:ascii="Times New Roman" w:hAnsi="Times New Roman"/>
          <w:sz w:val="20"/>
          <w:szCs w:val="20"/>
        </w:rPr>
        <w:t xml:space="preserve">, </w:t>
      </w:r>
      <w:r w:rsidRPr="00F82CFE">
        <w:rPr>
          <w:rFonts w:ascii="Times New Roman" w:hAnsi="Times New Roman"/>
          <w:i/>
          <w:sz w:val="20"/>
          <w:szCs w:val="20"/>
        </w:rPr>
        <w:t>EU Criminal Law,</w:t>
      </w:r>
      <w:r>
        <w:rPr>
          <w:rFonts w:ascii="Times New Roman" w:hAnsi="Times New Roman"/>
          <w:sz w:val="20"/>
          <w:szCs w:val="20"/>
        </w:rPr>
        <w:t xml:space="preserve"> Oxford and Portland, Oregon 2009, pp. 5-58; S. </w:t>
      </w:r>
      <w:proofErr w:type="spellStart"/>
      <w:r>
        <w:rPr>
          <w:rFonts w:ascii="Times New Roman" w:hAnsi="Times New Roman"/>
          <w:sz w:val="20"/>
          <w:szCs w:val="20"/>
        </w:rPr>
        <w:t>Miettinen</w:t>
      </w:r>
      <w:proofErr w:type="spellEnd"/>
      <w:r>
        <w:rPr>
          <w:rFonts w:ascii="Times New Roman" w:hAnsi="Times New Roman"/>
          <w:sz w:val="20"/>
          <w:szCs w:val="20"/>
        </w:rPr>
        <w:t xml:space="preserve">, </w:t>
      </w:r>
      <w:r w:rsidRPr="00306AC8">
        <w:rPr>
          <w:rFonts w:ascii="Times New Roman" w:hAnsi="Times New Roman"/>
          <w:i/>
          <w:sz w:val="20"/>
          <w:szCs w:val="20"/>
        </w:rPr>
        <w:t>The Evolution of Competence Distribution Between the European Union and the Member States in the Criminal Field</w:t>
      </w:r>
      <w:r>
        <w:rPr>
          <w:rFonts w:ascii="Times New Roman" w:hAnsi="Times New Roman"/>
          <w:sz w:val="20"/>
          <w:szCs w:val="20"/>
        </w:rPr>
        <w:t xml:space="preserve">, in Ch. </w:t>
      </w:r>
      <w:proofErr w:type="spellStart"/>
      <w:r>
        <w:rPr>
          <w:rFonts w:ascii="Times New Roman" w:hAnsi="Times New Roman"/>
          <w:sz w:val="20"/>
          <w:szCs w:val="20"/>
        </w:rPr>
        <w:t>Bri</w:t>
      </w:r>
      <w:r>
        <w:rPr>
          <w:rFonts w:ascii="Times New Roman" w:hAnsi="Times New Roman" w:cs="Times New Roman"/>
          <w:sz w:val="20"/>
          <w:szCs w:val="20"/>
        </w:rPr>
        <w:t>è</w:t>
      </w:r>
      <w:r>
        <w:rPr>
          <w:rFonts w:ascii="Times New Roman" w:hAnsi="Times New Roman"/>
          <w:sz w:val="20"/>
          <w:szCs w:val="20"/>
        </w:rPr>
        <w:t>re</w:t>
      </w:r>
      <w:proofErr w:type="spellEnd"/>
      <w:r>
        <w:rPr>
          <w:rFonts w:ascii="Times New Roman" w:hAnsi="Times New Roman"/>
          <w:sz w:val="20"/>
          <w:szCs w:val="20"/>
        </w:rPr>
        <w:t xml:space="preserve"> and A. </w:t>
      </w:r>
      <w:proofErr w:type="spellStart"/>
      <w:r>
        <w:rPr>
          <w:rFonts w:ascii="Times New Roman" w:hAnsi="Times New Roman"/>
          <w:sz w:val="20"/>
          <w:szCs w:val="20"/>
        </w:rPr>
        <w:t>Weyembergh</w:t>
      </w:r>
      <w:proofErr w:type="spellEnd"/>
      <w:r>
        <w:rPr>
          <w:rFonts w:ascii="Times New Roman" w:hAnsi="Times New Roman"/>
          <w:sz w:val="20"/>
          <w:szCs w:val="20"/>
        </w:rPr>
        <w:t xml:space="preserve"> (</w:t>
      </w:r>
      <w:proofErr w:type="spellStart"/>
      <w:r>
        <w:rPr>
          <w:rFonts w:ascii="Times New Roman" w:hAnsi="Times New Roman"/>
          <w:sz w:val="20"/>
          <w:szCs w:val="20"/>
        </w:rPr>
        <w:t>eds</w:t>
      </w:r>
      <w:proofErr w:type="spellEnd"/>
      <w:r>
        <w:rPr>
          <w:rFonts w:ascii="Times New Roman" w:hAnsi="Times New Roman"/>
          <w:sz w:val="20"/>
          <w:szCs w:val="20"/>
        </w:rPr>
        <w:t xml:space="preserve">), </w:t>
      </w:r>
      <w:r w:rsidRPr="00306AC8">
        <w:rPr>
          <w:rFonts w:ascii="Times New Roman" w:hAnsi="Times New Roman"/>
          <w:i/>
          <w:sz w:val="20"/>
          <w:szCs w:val="20"/>
        </w:rPr>
        <w:t>The Needed Balances in EU Criminal Law. Past, Present and Future</w:t>
      </w:r>
      <w:r>
        <w:rPr>
          <w:rFonts w:ascii="Times New Roman" w:hAnsi="Times New Roman"/>
          <w:sz w:val="20"/>
          <w:szCs w:val="20"/>
        </w:rPr>
        <w:t xml:space="preserve">, Oxford and Portland, Oregon 2018, pp. 35-64; V. </w:t>
      </w:r>
      <w:proofErr w:type="spellStart"/>
      <w:r>
        <w:rPr>
          <w:rFonts w:ascii="Times New Roman" w:hAnsi="Times New Roman"/>
          <w:sz w:val="20"/>
          <w:szCs w:val="20"/>
        </w:rPr>
        <w:t>Mitsilegas</w:t>
      </w:r>
      <w:proofErr w:type="spellEnd"/>
      <w:r>
        <w:rPr>
          <w:rFonts w:ascii="Times New Roman" w:hAnsi="Times New Roman"/>
          <w:sz w:val="20"/>
          <w:szCs w:val="20"/>
        </w:rPr>
        <w:t xml:space="preserve">, </w:t>
      </w:r>
      <w:r w:rsidRPr="008003F2">
        <w:rPr>
          <w:rFonts w:ascii="Times New Roman" w:hAnsi="Times New Roman"/>
          <w:i/>
          <w:sz w:val="20"/>
          <w:szCs w:val="20"/>
          <w:lang w:val="en-US"/>
        </w:rPr>
        <w:t>EU Criminal Law after Lisbon. Rights, Trust and the Transformation of Justice in Europe</w:t>
      </w:r>
      <w:r>
        <w:rPr>
          <w:rFonts w:ascii="Times New Roman" w:hAnsi="Times New Roman"/>
          <w:sz w:val="20"/>
          <w:szCs w:val="20"/>
          <w:lang w:val="en-US"/>
        </w:rPr>
        <w:t>, Hart Publishing, 2016, pp. 153-184.</w:t>
      </w:r>
    </w:p>
  </w:footnote>
  <w:footnote w:id="9">
    <w:p w14:paraId="21FF7760" w14:textId="7B41583D" w:rsidR="003D4C37" w:rsidRPr="00824BFE" w:rsidRDefault="003D4C37" w:rsidP="00E749F4">
      <w:pPr>
        <w:pStyle w:val="FootnoteText"/>
        <w:jc w:val="both"/>
        <w:rPr>
          <w:lang w:val="en-GB"/>
        </w:rPr>
      </w:pPr>
      <w:r>
        <w:rPr>
          <w:rStyle w:val="FootnoteReference"/>
        </w:rPr>
        <w:footnoteRef/>
      </w:r>
      <w:r>
        <w:t xml:space="preserve"> See, for instance, Report to the Hungarian Government on the visit to Hungary carried out by the European Committee for the Prevention of Torture and Inhuman or Degrading Treatment or Punishment (CPT) from 3 to 12 April 2013, available at: </w:t>
      </w:r>
      <w:hyperlink r:id="rId1" w:history="1">
        <w:r w:rsidRPr="00B24AD9">
          <w:rPr>
            <w:rStyle w:val="Hyperlink"/>
          </w:rPr>
          <w:t>https://rm.coe.int/1680696b7f</w:t>
        </w:r>
      </w:hyperlink>
      <w:r>
        <w:t xml:space="preserve"> </w:t>
      </w:r>
    </w:p>
  </w:footnote>
  <w:footnote w:id="10">
    <w:p w14:paraId="03D9875E" w14:textId="1D937026" w:rsidR="003D4C37" w:rsidRPr="00EF2246" w:rsidRDefault="003D4C37">
      <w:pPr>
        <w:pStyle w:val="Footnote"/>
        <w:jc w:val="both"/>
        <w:rPr>
          <w:sz w:val="20"/>
          <w:szCs w:val="20"/>
        </w:rPr>
      </w:pPr>
      <w:r w:rsidRPr="00EF2246">
        <w:rPr>
          <w:rFonts w:ascii="Times New Roman" w:eastAsia="Times New Roman" w:hAnsi="Times New Roman" w:cs="Times New Roman"/>
          <w:sz w:val="20"/>
          <w:szCs w:val="20"/>
          <w:vertAlign w:val="superscript"/>
        </w:rPr>
        <w:footnoteRef/>
      </w:r>
      <w:r w:rsidRPr="00EF2246">
        <w:rPr>
          <w:rFonts w:ascii="Times New Roman" w:hAnsi="Times New Roman"/>
          <w:sz w:val="20"/>
          <w:szCs w:val="20"/>
        </w:rPr>
        <w:t xml:space="preserve"> </w:t>
      </w:r>
      <w:r>
        <w:rPr>
          <w:rFonts w:ascii="Times New Roman" w:hAnsi="Times New Roman"/>
          <w:sz w:val="20"/>
          <w:szCs w:val="20"/>
        </w:rPr>
        <w:t xml:space="preserve">See, </w:t>
      </w:r>
      <w:r w:rsidRPr="0027355E">
        <w:rPr>
          <w:rFonts w:ascii="Times New Roman" w:hAnsi="Times New Roman"/>
          <w:i/>
          <w:sz w:val="20"/>
          <w:szCs w:val="20"/>
        </w:rPr>
        <w:t>inter alia</w:t>
      </w:r>
      <w:r>
        <w:rPr>
          <w:rFonts w:ascii="Times New Roman" w:hAnsi="Times New Roman"/>
          <w:sz w:val="20"/>
          <w:szCs w:val="20"/>
        </w:rPr>
        <w:t xml:space="preserve">, </w:t>
      </w:r>
      <w:r w:rsidR="008D254D" w:rsidRPr="008D254D">
        <w:rPr>
          <w:rFonts w:ascii="Times New Roman" w:hAnsi="Times New Roman"/>
          <w:sz w:val="20"/>
          <w:szCs w:val="20"/>
        </w:rPr>
        <w:t xml:space="preserve">Z. </w:t>
      </w:r>
      <w:proofErr w:type="spellStart"/>
      <w:r w:rsidR="008D254D" w:rsidRPr="008D254D">
        <w:rPr>
          <w:rFonts w:ascii="Times New Roman" w:hAnsi="Times New Roman"/>
          <w:sz w:val="20"/>
          <w:szCs w:val="20"/>
        </w:rPr>
        <w:t>Szente</w:t>
      </w:r>
      <w:proofErr w:type="spellEnd"/>
      <w:r w:rsidR="008D254D" w:rsidRPr="008D254D">
        <w:rPr>
          <w:rFonts w:ascii="Times New Roman" w:hAnsi="Times New Roman"/>
          <w:sz w:val="20"/>
          <w:szCs w:val="20"/>
        </w:rPr>
        <w:t xml:space="preserve">, </w:t>
      </w:r>
      <w:r w:rsidR="008D254D" w:rsidRPr="008D254D">
        <w:rPr>
          <w:rFonts w:ascii="Times New Roman" w:hAnsi="Times New Roman"/>
          <w:i/>
          <w:sz w:val="20"/>
          <w:szCs w:val="20"/>
        </w:rPr>
        <w:t>Challenging the Basic Values – The Problems of the Rule of Law in Hungary and the Failure of the European Union to Tackle Them</w:t>
      </w:r>
      <w:r w:rsidR="008D254D" w:rsidRPr="008D254D">
        <w:rPr>
          <w:rFonts w:ascii="Times New Roman" w:hAnsi="Times New Roman"/>
          <w:sz w:val="20"/>
          <w:szCs w:val="20"/>
        </w:rPr>
        <w:t xml:space="preserve">, in A. </w:t>
      </w:r>
      <w:proofErr w:type="spellStart"/>
      <w:r w:rsidR="008D254D" w:rsidRPr="008D254D">
        <w:rPr>
          <w:rFonts w:ascii="Times New Roman" w:hAnsi="Times New Roman"/>
          <w:sz w:val="20"/>
          <w:szCs w:val="20"/>
        </w:rPr>
        <w:t>Jakab</w:t>
      </w:r>
      <w:proofErr w:type="spellEnd"/>
      <w:r w:rsidR="008D254D" w:rsidRPr="008D254D">
        <w:rPr>
          <w:rFonts w:ascii="Times New Roman" w:hAnsi="Times New Roman"/>
          <w:sz w:val="20"/>
          <w:szCs w:val="20"/>
        </w:rPr>
        <w:t xml:space="preserve">, D. </w:t>
      </w:r>
      <w:proofErr w:type="spellStart"/>
      <w:r w:rsidR="008D254D" w:rsidRPr="008D254D">
        <w:rPr>
          <w:rFonts w:ascii="Times New Roman" w:hAnsi="Times New Roman"/>
          <w:sz w:val="20"/>
          <w:szCs w:val="20"/>
        </w:rPr>
        <w:t>Kochenov</w:t>
      </w:r>
      <w:proofErr w:type="spellEnd"/>
      <w:r w:rsidR="008D254D" w:rsidRPr="008D254D">
        <w:rPr>
          <w:rFonts w:ascii="Times New Roman" w:hAnsi="Times New Roman"/>
          <w:sz w:val="20"/>
          <w:szCs w:val="20"/>
        </w:rPr>
        <w:t xml:space="preserve"> (</w:t>
      </w:r>
      <w:proofErr w:type="spellStart"/>
      <w:r w:rsidR="008D254D" w:rsidRPr="008D254D">
        <w:rPr>
          <w:rFonts w:ascii="Times New Roman" w:hAnsi="Times New Roman"/>
          <w:sz w:val="20"/>
          <w:szCs w:val="20"/>
        </w:rPr>
        <w:t>eds</w:t>
      </w:r>
      <w:proofErr w:type="spellEnd"/>
      <w:r w:rsidR="008D254D" w:rsidRPr="008D254D">
        <w:rPr>
          <w:rFonts w:ascii="Times New Roman" w:hAnsi="Times New Roman"/>
          <w:sz w:val="20"/>
          <w:szCs w:val="20"/>
        </w:rPr>
        <w:t xml:space="preserve">), </w:t>
      </w:r>
      <w:r w:rsidR="008D254D" w:rsidRPr="008D254D">
        <w:rPr>
          <w:rFonts w:ascii="Times New Roman" w:hAnsi="Times New Roman"/>
          <w:i/>
          <w:sz w:val="20"/>
          <w:szCs w:val="20"/>
        </w:rPr>
        <w:t>The Enforcement of EU Law and Values</w:t>
      </w:r>
      <w:r w:rsidR="008D254D" w:rsidRPr="008D254D">
        <w:rPr>
          <w:rFonts w:ascii="Times New Roman" w:hAnsi="Times New Roman"/>
          <w:sz w:val="20"/>
          <w:szCs w:val="20"/>
        </w:rPr>
        <w:t>, Oxford</w:t>
      </w:r>
      <w:r w:rsidR="008D254D">
        <w:rPr>
          <w:rFonts w:ascii="Times New Roman" w:hAnsi="Times New Roman"/>
          <w:sz w:val="20"/>
          <w:szCs w:val="20"/>
        </w:rPr>
        <w:t>: Oxford University Press, 2017, pp.;</w:t>
      </w:r>
      <w:r w:rsidR="008D254D" w:rsidRPr="008D254D">
        <w:rPr>
          <w:rFonts w:ascii="Times New Roman" w:hAnsi="Times New Roman"/>
          <w:sz w:val="20"/>
          <w:szCs w:val="20"/>
        </w:rPr>
        <w:t xml:space="preserve"> </w:t>
      </w:r>
      <w:r w:rsidRPr="0027355E">
        <w:rPr>
          <w:rFonts w:ascii="Times New Roman" w:hAnsi="Times New Roman"/>
          <w:sz w:val="20"/>
          <w:szCs w:val="20"/>
        </w:rPr>
        <w:t>B</w:t>
      </w:r>
      <w:r>
        <w:rPr>
          <w:rFonts w:ascii="Times New Roman" w:hAnsi="Times New Roman"/>
          <w:sz w:val="20"/>
          <w:szCs w:val="20"/>
        </w:rPr>
        <w:t xml:space="preserve">. </w:t>
      </w:r>
      <w:proofErr w:type="spellStart"/>
      <w:r>
        <w:rPr>
          <w:rFonts w:ascii="Times New Roman" w:hAnsi="Times New Roman"/>
          <w:sz w:val="20"/>
          <w:szCs w:val="20"/>
        </w:rPr>
        <w:t>Bugaric</w:t>
      </w:r>
      <w:proofErr w:type="spellEnd"/>
      <w:r>
        <w:rPr>
          <w:rFonts w:ascii="Times New Roman" w:hAnsi="Times New Roman"/>
          <w:sz w:val="20"/>
          <w:szCs w:val="20"/>
        </w:rPr>
        <w:t>, A.</w:t>
      </w:r>
      <w:r w:rsidRPr="0027355E">
        <w:rPr>
          <w:rFonts w:ascii="Times New Roman" w:hAnsi="Times New Roman"/>
          <w:sz w:val="20"/>
          <w:szCs w:val="20"/>
        </w:rPr>
        <w:t xml:space="preserve"> </w:t>
      </w:r>
      <w:proofErr w:type="spellStart"/>
      <w:r w:rsidRPr="0027355E">
        <w:rPr>
          <w:rFonts w:ascii="Times New Roman" w:hAnsi="Times New Roman"/>
          <w:sz w:val="20"/>
          <w:szCs w:val="20"/>
        </w:rPr>
        <w:t>Kuhelj</w:t>
      </w:r>
      <w:proofErr w:type="spellEnd"/>
      <w:r>
        <w:rPr>
          <w:rFonts w:ascii="Times New Roman" w:hAnsi="Times New Roman"/>
          <w:sz w:val="20"/>
          <w:szCs w:val="20"/>
        </w:rPr>
        <w:t xml:space="preserve">, </w:t>
      </w:r>
      <w:r w:rsidRPr="0027355E">
        <w:rPr>
          <w:rFonts w:ascii="Times New Roman" w:hAnsi="Times New Roman"/>
          <w:i/>
          <w:sz w:val="20"/>
          <w:szCs w:val="20"/>
        </w:rPr>
        <w:t>Varieties of Populism in Europe: Is the Rule of Law in Danger?</w:t>
      </w:r>
      <w:r>
        <w:rPr>
          <w:rFonts w:ascii="Times New Roman" w:hAnsi="Times New Roman"/>
          <w:sz w:val="20"/>
          <w:szCs w:val="20"/>
        </w:rPr>
        <w:t xml:space="preserve">, 10 Hague Journal of Rule of Law (2018), pp. 21-33; W. </w:t>
      </w:r>
      <w:proofErr w:type="spellStart"/>
      <w:r>
        <w:rPr>
          <w:rFonts w:ascii="Times New Roman" w:hAnsi="Times New Roman"/>
          <w:sz w:val="20"/>
          <w:szCs w:val="20"/>
        </w:rPr>
        <w:t>Rech</w:t>
      </w:r>
      <w:proofErr w:type="spellEnd"/>
      <w:r>
        <w:rPr>
          <w:rFonts w:ascii="Times New Roman" w:hAnsi="Times New Roman"/>
          <w:sz w:val="20"/>
          <w:szCs w:val="20"/>
        </w:rPr>
        <w:t xml:space="preserve">, </w:t>
      </w:r>
      <w:r w:rsidRPr="00364584">
        <w:rPr>
          <w:rFonts w:ascii="Times New Roman" w:hAnsi="Times New Roman"/>
          <w:i/>
          <w:sz w:val="20"/>
          <w:szCs w:val="20"/>
        </w:rPr>
        <w:t>Some remarks on the EU’s action on the erosion of the rule of law in Poland and Hungary</w:t>
      </w:r>
      <w:r>
        <w:rPr>
          <w:rFonts w:ascii="Times New Roman" w:hAnsi="Times New Roman"/>
          <w:sz w:val="20"/>
          <w:szCs w:val="20"/>
        </w:rPr>
        <w:t xml:space="preserve">, </w:t>
      </w:r>
      <w:r w:rsidRPr="00364584">
        <w:rPr>
          <w:rFonts w:ascii="Times New Roman" w:hAnsi="Times New Roman"/>
          <w:sz w:val="20"/>
          <w:szCs w:val="20"/>
        </w:rPr>
        <w:t>26</w:t>
      </w:r>
      <w:r>
        <w:rPr>
          <w:rFonts w:ascii="Times New Roman" w:hAnsi="Times New Roman"/>
          <w:sz w:val="20"/>
          <w:szCs w:val="20"/>
        </w:rPr>
        <w:t xml:space="preserve"> Journal of Contemporary European Studies (2018) pp. </w:t>
      </w:r>
      <w:r w:rsidRPr="00364584">
        <w:rPr>
          <w:rFonts w:ascii="Times New Roman" w:hAnsi="Times New Roman"/>
          <w:sz w:val="20"/>
          <w:szCs w:val="20"/>
        </w:rPr>
        <w:t>334-345</w:t>
      </w:r>
      <w:r>
        <w:rPr>
          <w:rFonts w:ascii="Times New Roman" w:hAnsi="Times New Roman"/>
          <w:sz w:val="20"/>
          <w:szCs w:val="20"/>
        </w:rPr>
        <w:t xml:space="preserve">; P. </w:t>
      </w:r>
      <w:proofErr w:type="spellStart"/>
      <w:r>
        <w:rPr>
          <w:rFonts w:ascii="Times New Roman" w:hAnsi="Times New Roman"/>
          <w:sz w:val="20"/>
          <w:szCs w:val="20"/>
        </w:rPr>
        <w:t>Filipek</w:t>
      </w:r>
      <w:proofErr w:type="spellEnd"/>
      <w:r>
        <w:rPr>
          <w:rFonts w:ascii="Times New Roman" w:hAnsi="Times New Roman"/>
          <w:sz w:val="20"/>
          <w:szCs w:val="20"/>
        </w:rPr>
        <w:t xml:space="preserve">, </w:t>
      </w:r>
      <w:r w:rsidRPr="00520E92">
        <w:rPr>
          <w:rFonts w:ascii="Times New Roman" w:hAnsi="Times New Roman"/>
          <w:i/>
          <w:sz w:val="20"/>
          <w:szCs w:val="20"/>
        </w:rPr>
        <w:t>Challenges to the Rule of Law in the European Union: the distressing case of Poland</w:t>
      </w:r>
      <w:r>
        <w:rPr>
          <w:rFonts w:ascii="Times New Roman" w:hAnsi="Times New Roman"/>
          <w:sz w:val="20"/>
          <w:szCs w:val="20"/>
        </w:rPr>
        <w:t xml:space="preserve">, </w:t>
      </w:r>
      <w:r w:rsidRPr="00520E92">
        <w:rPr>
          <w:rFonts w:ascii="Times New Roman" w:hAnsi="Times New Roman"/>
          <w:sz w:val="20"/>
          <w:szCs w:val="20"/>
        </w:rPr>
        <w:t xml:space="preserve">17 (2017) </w:t>
      </w:r>
      <w:proofErr w:type="spellStart"/>
      <w:r w:rsidRPr="00520E92">
        <w:rPr>
          <w:rFonts w:ascii="Times New Roman" w:hAnsi="Times New Roman"/>
          <w:sz w:val="20"/>
          <w:szCs w:val="20"/>
        </w:rPr>
        <w:t>Revista</w:t>
      </w:r>
      <w:proofErr w:type="spellEnd"/>
      <w:r w:rsidRPr="00520E92">
        <w:rPr>
          <w:rFonts w:ascii="Times New Roman" w:hAnsi="Times New Roman"/>
          <w:sz w:val="20"/>
          <w:szCs w:val="20"/>
        </w:rPr>
        <w:t xml:space="preserve"> do Instituto </w:t>
      </w:r>
      <w:proofErr w:type="spellStart"/>
      <w:r w:rsidRPr="00520E92">
        <w:rPr>
          <w:rFonts w:ascii="Times New Roman" w:hAnsi="Times New Roman"/>
          <w:sz w:val="20"/>
          <w:szCs w:val="20"/>
        </w:rPr>
        <w:t>B</w:t>
      </w:r>
      <w:r>
        <w:rPr>
          <w:rFonts w:ascii="Times New Roman" w:hAnsi="Times New Roman"/>
          <w:sz w:val="20"/>
          <w:szCs w:val="20"/>
        </w:rPr>
        <w:t>rasileiro</w:t>
      </w:r>
      <w:proofErr w:type="spellEnd"/>
      <w:r>
        <w:rPr>
          <w:rFonts w:ascii="Times New Roman" w:hAnsi="Times New Roman"/>
          <w:sz w:val="20"/>
          <w:szCs w:val="20"/>
        </w:rPr>
        <w:t xml:space="preserve"> de </w:t>
      </w:r>
      <w:proofErr w:type="spellStart"/>
      <w:r>
        <w:rPr>
          <w:rFonts w:ascii="Times New Roman" w:hAnsi="Times New Roman"/>
          <w:sz w:val="20"/>
          <w:szCs w:val="20"/>
        </w:rPr>
        <w:t>Direitos</w:t>
      </w:r>
      <w:proofErr w:type="spellEnd"/>
      <w:r>
        <w:rPr>
          <w:rFonts w:ascii="Times New Roman" w:hAnsi="Times New Roman"/>
          <w:sz w:val="20"/>
          <w:szCs w:val="20"/>
        </w:rPr>
        <w:t xml:space="preserve"> Humanos /</w:t>
      </w:r>
      <w:r w:rsidRPr="00520E92">
        <w:rPr>
          <w:rFonts w:ascii="Times New Roman" w:hAnsi="Times New Roman"/>
          <w:sz w:val="20"/>
          <w:szCs w:val="20"/>
        </w:rPr>
        <w:t>Journal of the Brazilian Institute of Human Rights</w:t>
      </w:r>
      <w:r>
        <w:rPr>
          <w:rFonts w:ascii="Times New Roman" w:hAnsi="Times New Roman"/>
          <w:sz w:val="20"/>
          <w:szCs w:val="20"/>
        </w:rPr>
        <w:t>, pp. [forthcoming, page numbers to be added at proof stage].</w:t>
      </w:r>
    </w:p>
  </w:footnote>
  <w:footnote w:id="11">
    <w:p w14:paraId="45374F48" w14:textId="4486F370" w:rsidR="003D4C37" w:rsidRPr="00821F82" w:rsidRDefault="003D4C37" w:rsidP="004C5999">
      <w:pPr>
        <w:pStyle w:val="Footnote"/>
        <w:jc w:val="both"/>
        <w:rPr>
          <w:sz w:val="20"/>
          <w:szCs w:val="20"/>
        </w:rPr>
      </w:pPr>
      <w:r w:rsidRPr="00EF2246">
        <w:rPr>
          <w:rFonts w:ascii="Times New Roman" w:eastAsia="Times New Roman" w:hAnsi="Times New Roman" w:cs="Times New Roman"/>
          <w:sz w:val="20"/>
          <w:szCs w:val="20"/>
          <w:vertAlign w:val="superscript"/>
        </w:rPr>
        <w:footnoteRef/>
      </w:r>
      <w:r w:rsidRPr="00EF2246">
        <w:rPr>
          <w:rFonts w:ascii="Times New Roman" w:hAnsi="Times New Roman"/>
          <w:sz w:val="20"/>
          <w:szCs w:val="20"/>
        </w:rPr>
        <w:t xml:space="preserve"> </w:t>
      </w:r>
      <w:proofErr w:type="spellStart"/>
      <w:r>
        <w:rPr>
          <w:rFonts w:ascii="Times New Roman" w:hAnsi="Times New Roman"/>
          <w:sz w:val="20"/>
          <w:szCs w:val="20"/>
        </w:rPr>
        <w:t>CoJ</w:t>
      </w:r>
      <w:proofErr w:type="spellEnd"/>
      <w:r>
        <w:rPr>
          <w:rFonts w:ascii="Times New Roman" w:hAnsi="Times New Roman"/>
          <w:sz w:val="20"/>
          <w:szCs w:val="20"/>
        </w:rPr>
        <w:t xml:space="preserve">, </w:t>
      </w:r>
      <w:r w:rsidRPr="00585E91">
        <w:rPr>
          <w:rFonts w:ascii="Times New Roman" w:hAnsi="Times New Roman"/>
          <w:sz w:val="20"/>
          <w:szCs w:val="20"/>
        </w:rPr>
        <w:t>Joined Cases C-404/15 and C-659/15 PPU</w:t>
      </w:r>
      <w:r>
        <w:rPr>
          <w:rFonts w:ascii="Times New Roman" w:hAnsi="Times New Roman"/>
          <w:sz w:val="20"/>
          <w:szCs w:val="20"/>
        </w:rPr>
        <w:t xml:space="preserve"> </w:t>
      </w:r>
      <w:proofErr w:type="spellStart"/>
      <w:r w:rsidRPr="00417178">
        <w:rPr>
          <w:rFonts w:ascii="Times New Roman" w:hAnsi="Times New Roman"/>
          <w:i/>
          <w:sz w:val="20"/>
          <w:szCs w:val="20"/>
        </w:rPr>
        <w:t>Pál</w:t>
      </w:r>
      <w:proofErr w:type="spellEnd"/>
      <w:r w:rsidRPr="00417178">
        <w:rPr>
          <w:rFonts w:ascii="Times New Roman" w:hAnsi="Times New Roman"/>
          <w:i/>
          <w:sz w:val="20"/>
          <w:szCs w:val="20"/>
        </w:rPr>
        <w:t xml:space="preserve"> </w:t>
      </w:r>
      <w:proofErr w:type="spellStart"/>
      <w:r w:rsidRPr="00417178">
        <w:rPr>
          <w:rFonts w:ascii="Times New Roman" w:hAnsi="Times New Roman"/>
          <w:i/>
          <w:sz w:val="20"/>
          <w:szCs w:val="20"/>
        </w:rPr>
        <w:t>Aranyosi</w:t>
      </w:r>
      <w:proofErr w:type="spellEnd"/>
      <w:r w:rsidRPr="00417178">
        <w:rPr>
          <w:rFonts w:ascii="Times New Roman" w:hAnsi="Times New Roman"/>
          <w:i/>
          <w:sz w:val="20"/>
          <w:szCs w:val="20"/>
        </w:rPr>
        <w:t xml:space="preserve"> and Robert </w:t>
      </w:r>
      <w:proofErr w:type="spellStart"/>
      <w:r w:rsidRPr="00417178">
        <w:rPr>
          <w:rFonts w:ascii="Times New Roman" w:hAnsi="Times New Roman"/>
          <w:i/>
          <w:sz w:val="20"/>
          <w:szCs w:val="20"/>
        </w:rPr>
        <w:t>Căldăraru</w:t>
      </w:r>
      <w:proofErr w:type="spellEnd"/>
      <w:r w:rsidRPr="00417178">
        <w:rPr>
          <w:rFonts w:ascii="Times New Roman" w:hAnsi="Times New Roman"/>
          <w:i/>
          <w:sz w:val="20"/>
          <w:szCs w:val="20"/>
        </w:rPr>
        <w:t xml:space="preserve"> v </w:t>
      </w:r>
      <w:proofErr w:type="spellStart"/>
      <w:r w:rsidRPr="00417178">
        <w:rPr>
          <w:rFonts w:ascii="Times New Roman" w:hAnsi="Times New Roman"/>
          <w:i/>
          <w:sz w:val="20"/>
          <w:szCs w:val="20"/>
        </w:rPr>
        <w:t>Generalstaatsanwaltschaft</w:t>
      </w:r>
      <w:proofErr w:type="spellEnd"/>
      <w:r w:rsidRPr="00417178">
        <w:rPr>
          <w:rFonts w:ascii="Times New Roman" w:hAnsi="Times New Roman"/>
          <w:i/>
          <w:sz w:val="20"/>
          <w:szCs w:val="20"/>
        </w:rPr>
        <w:t xml:space="preserve"> Bremen</w:t>
      </w:r>
      <w:r>
        <w:rPr>
          <w:rFonts w:ascii="Times New Roman" w:hAnsi="Times New Roman"/>
          <w:sz w:val="20"/>
          <w:szCs w:val="20"/>
        </w:rPr>
        <w:t xml:space="preserve">, </w:t>
      </w:r>
      <w:r w:rsidRPr="00417178">
        <w:rPr>
          <w:rFonts w:ascii="Times New Roman" w:hAnsi="Times New Roman"/>
          <w:sz w:val="20"/>
          <w:szCs w:val="20"/>
        </w:rPr>
        <w:t>ECLI:EU:C:2016:198</w:t>
      </w:r>
      <w:r>
        <w:rPr>
          <w:rFonts w:ascii="Times New Roman" w:hAnsi="Times New Roman"/>
          <w:sz w:val="20"/>
          <w:szCs w:val="20"/>
        </w:rPr>
        <w:t xml:space="preserve">. For an academic appraisal, see </w:t>
      </w:r>
      <w:r w:rsidRPr="00417178">
        <w:rPr>
          <w:rFonts w:ascii="Times New Roman" w:hAnsi="Times New Roman"/>
          <w:i/>
          <w:sz w:val="20"/>
          <w:szCs w:val="20"/>
        </w:rPr>
        <w:t>inter alia</w:t>
      </w:r>
      <w:r>
        <w:rPr>
          <w:rFonts w:ascii="Times New Roman" w:hAnsi="Times New Roman"/>
          <w:sz w:val="20"/>
          <w:szCs w:val="20"/>
        </w:rPr>
        <w:t xml:space="preserve">, </w:t>
      </w:r>
      <w:r w:rsidRPr="00ED0C6E">
        <w:rPr>
          <w:rFonts w:ascii="Times New Roman" w:hAnsi="Times New Roman"/>
          <w:sz w:val="20"/>
          <w:szCs w:val="20"/>
        </w:rPr>
        <w:t>G</w:t>
      </w:r>
      <w:r>
        <w:rPr>
          <w:rFonts w:ascii="Times New Roman" w:hAnsi="Times New Roman"/>
          <w:sz w:val="20"/>
          <w:szCs w:val="20"/>
        </w:rPr>
        <w:t xml:space="preserve">. </w:t>
      </w:r>
      <w:proofErr w:type="spellStart"/>
      <w:r>
        <w:rPr>
          <w:rFonts w:ascii="Times New Roman" w:hAnsi="Times New Roman"/>
          <w:sz w:val="20"/>
          <w:szCs w:val="20"/>
        </w:rPr>
        <w:t>Anagnostaras</w:t>
      </w:r>
      <w:proofErr w:type="spellEnd"/>
      <w:r>
        <w:rPr>
          <w:rFonts w:ascii="Times New Roman" w:hAnsi="Times New Roman"/>
          <w:sz w:val="20"/>
          <w:szCs w:val="20"/>
        </w:rPr>
        <w:t xml:space="preserve">, </w:t>
      </w:r>
      <w:r w:rsidRPr="00ED0C6E">
        <w:rPr>
          <w:rFonts w:ascii="Times New Roman" w:hAnsi="Times New Roman"/>
          <w:i/>
          <w:sz w:val="20"/>
          <w:szCs w:val="20"/>
        </w:rPr>
        <w:t xml:space="preserve">Mutual confidence is not blind trust! Fundamental rights protection and the execution of the European arrest warrant: </w:t>
      </w:r>
      <w:proofErr w:type="spellStart"/>
      <w:r w:rsidRPr="00ED0C6E">
        <w:rPr>
          <w:rFonts w:ascii="Times New Roman" w:hAnsi="Times New Roman"/>
          <w:i/>
          <w:sz w:val="20"/>
          <w:szCs w:val="20"/>
        </w:rPr>
        <w:t>Aranyosi</w:t>
      </w:r>
      <w:proofErr w:type="spellEnd"/>
      <w:r w:rsidRPr="00ED0C6E">
        <w:rPr>
          <w:rFonts w:ascii="Times New Roman" w:hAnsi="Times New Roman"/>
          <w:i/>
          <w:sz w:val="20"/>
          <w:szCs w:val="20"/>
        </w:rPr>
        <w:t xml:space="preserve"> and </w:t>
      </w:r>
      <w:proofErr w:type="spellStart"/>
      <w:r w:rsidRPr="00ED0C6E">
        <w:rPr>
          <w:rFonts w:ascii="Times New Roman" w:hAnsi="Times New Roman"/>
          <w:i/>
          <w:sz w:val="20"/>
          <w:szCs w:val="20"/>
        </w:rPr>
        <w:t>Caldararu</w:t>
      </w:r>
      <w:proofErr w:type="spellEnd"/>
      <w:r>
        <w:rPr>
          <w:rFonts w:ascii="Times New Roman" w:hAnsi="Times New Roman"/>
          <w:sz w:val="20"/>
          <w:szCs w:val="20"/>
        </w:rPr>
        <w:t xml:space="preserve">, </w:t>
      </w:r>
      <w:r w:rsidRPr="00ED0C6E">
        <w:rPr>
          <w:rFonts w:ascii="Times New Roman" w:hAnsi="Times New Roman"/>
          <w:sz w:val="20"/>
          <w:szCs w:val="20"/>
        </w:rPr>
        <w:t xml:space="preserve">53 </w:t>
      </w:r>
      <w:proofErr w:type="spellStart"/>
      <w:r>
        <w:rPr>
          <w:rFonts w:ascii="Times New Roman" w:hAnsi="Times New Roman"/>
          <w:sz w:val="20"/>
          <w:szCs w:val="20"/>
        </w:rPr>
        <w:t>CMLRev</w:t>
      </w:r>
      <w:proofErr w:type="spellEnd"/>
      <w:r>
        <w:rPr>
          <w:rFonts w:ascii="Times New Roman" w:hAnsi="Times New Roman"/>
          <w:sz w:val="20"/>
          <w:szCs w:val="20"/>
        </w:rPr>
        <w:t>.</w:t>
      </w:r>
      <w:r w:rsidRPr="00ED0C6E">
        <w:rPr>
          <w:rFonts w:ascii="Times New Roman" w:hAnsi="Times New Roman"/>
          <w:sz w:val="20"/>
          <w:szCs w:val="20"/>
        </w:rPr>
        <w:t xml:space="preserve"> </w:t>
      </w:r>
      <w:r w:rsidRPr="00D27DB3">
        <w:rPr>
          <w:rFonts w:ascii="Times New Roman" w:hAnsi="Times New Roman"/>
          <w:sz w:val="20"/>
          <w:szCs w:val="20"/>
        </w:rPr>
        <w:t xml:space="preserve">(2016) pp. 1675–1704; </w:t>
      </w:r>
      <w:proofErr w:type="spellStart"/>
      <w:r w:rsidRPr="00D27DB3">
        <w:rPr>
          <w:rFonts w:ascii="Times New Roman" w:hAnsi="Times New Roman"/>
          <w:sz w:val="20"/>
          <w:szCs w:val="20"/>
        </w:rPr>
        <w:t>Sz</w:t>
      </w:r>
      <w:proofErr w:type="spellEnd"/>
      <w:r w:rsidRPr="00D27DB3">
        <w:rPr>
          <w:rFonts w:ascii="Times New Roman" w:hAnsi="Times New Roman"/>
          <w:sz w:val="20"/>
          <w:szCs w:val="20"/>
        </w:rPr>
        <w:t xml:space="preserve">. </w:t>
      </w:r>
      <w:proofErr w:type="spellStart"/>
      <w:r w:rsidRPr="00821F82">
        <w:rPr>
          <w:rFonts w:ascii="Times New Roman" w:hAnsi="Times New Roman"/>
          <w:sz w:val="20"/>
          <w:szCs w:val="20"/>
        </w:rPr>
        <w:t>Gáspár-Szilágyi</w:t>
      </w:r>
      <w:proofErr w:type="spellEnd"/>
      <w:r w:rsidRPr="00821F82">
        <w:rPr>
          <w:rFonts w:ascii="Times New Roman" w:hAnsi="Times New Roman"/>
          <w:sz w:val="20"/>
          <w:szCs w:val="20"/>
        </w:rPr>
        <w:t xml:space="preserve"> </w:t>
      </w:r>
      <w:r w:rsidRPr="00821F82">
        <w:rPr>
          <w:rFonts w:ascii="Times New Roman" w:hAnsi="Times New Roman"/>
          <w:i/>
          <w:sz w:val="20"/>
          <w:szCs w:val="20"/>
        </w:rPr>
        <w:t xml:space="preserve">Joined Cases </w:t>
      </w:r>
      <w:proofErr w:type="spellStart"/>
      <w:r w:rsidRPr="00821F82">
        <w:rPr>
          <w:rFonts w:ascii="Times New Roman" w:hAnsi="Times New Roman"/>
          <w:i/>
          <w:sz w:val="20"/>
          <w:szCs w:val="20"/>
        </w:rPr>
        <w:t>Aranyosi</w:t>
      </w:r>
      <w:proofErr w:type="spellEnd"/>
      <w:r w:rsidRPr="00821F82">
        <w:rPr>
          <w:rFonts w:ascii="Times New Roman" w:hAnsi="Times New Roman"/>
          <w:i/>
          <w:sz w:val="20"/>
          <w:szCs w:val="20"/>
        </w:rPr>
        <w:t xml:space="preserve"> and </w:t>
      </w:r>
      <w:proofErr w:type="spellStart"/>
      <w:r w:rsidRPr="00821F82">
        <w:rPr>
          <w:rFonts w:ascii="Times New Roman" w:hAnsi="Times New Roman"/>
          <w:i/>
          <w:sz w:val="20"/>
          <w:szCs w:val="20"/>
        </w:rPr>
        <w:t>Căldăraru</w:t>
      </w:r>
      <w:proofErr w:type="spellEnd"/>
      <w:r w:rsidRPr="00821F82">
        <w:rPr>
          <w:rFonts w:ascii="Times New Roman" w:hAnsi="Times New Roman"/>
          <w:i/>
          <w:sz w:val="20"/>
          <w:szCs w:val="20"/>
        </w:rPr>
        <w:t>: Converging Human Rights Standards, Mutual Trust and a New Ground for Postponing a European Arrest Warrant</w:t>
      </w:r>
      <w:r w:rsidRPr="00821F82">
        <w:rPr>
          <w:rFonts w:ascii="Times New Roman" w:hAnsi="Times New Roman"/>
          <w:sz w:val="20"/>
          <w:szCs w:val="20"/>
        </w:rPr>
        <w:t>, 24 European Journal of Crime Criminal Law and Criminal Justice (2016) pp. 197-219</w:t>
      </w:r>
      <w:r>
        <w:rPr>
          <w:rFonts w:ascii="Times New Roman" w:hAnsi="Times New Roman"/>
          <w:sz w:val="20"/>
          <w:szCs w:val="20"/>
        </w:rPr>
        <w:t xml:space="preserve">; </w:t>
      </w:r>
      <w:r w:rsidRPr="008A113B">
        <w:rPr>
          <w:rFonts w:ascii="Times New Roman" w:hAnsi="Times New Roman"/>
          <w:sz w:val="20"/>
          <w:szCs w:val="20"/>
        </w:rPr>
        <w:t>F</w:t>
      </w:r>
      <w:r>
        <w:rPr>
          <w:rFonts w:ascii="Times New Roman" w:hAnsi="Times New Roman"/>
          <w:sz w:val="20"/>
          <w:szCs w:val="20"/>
        </w:rPr>
        <w:t>.</w:t>
      </w:r>
      <w:r w:rsidRPr="008A113B">
        <w:rPr>
          <w:rFonts w:ascii="Times New Roman" w:hAnsi="Times New Roman"/>
          <w:sz w:val="20"/>
          <w:szCs w:val="20"/>
        </w:rPr>
        <w:t xml:space="preserve"> </w:t>
      </w:r>
      <w:proofErr w:type="spellStart"/>
      <w:r w:rsidRPr="008A113B">
        <w:rPr>
          <w:rFonts w:ascii="Times New Roman" w:hAnsi="Times New Roman"/>
          <w:sz w:val="20"/>
          <w:szCs w:val="20"/>
        </w:rPr>
        <w:t>Korenica</w:t>
      </w:r>
      <w:proofErr w:type="spellEnd"/>
      <w:r>
        <w:rPr>
          <w:rFonts w:ascii="Times New Roman" w:hAnsi="Times New Roman"/>
          <w:sz w:val="20"/>
          <w:szCs w:val="20"/>
        </w:rPr>
        <w:t xml:space="preserve">, </w:t>
      </w:r>
      <w:r w:rsidRPr="008A113B">
        <w:rPr>
          <w:rFonts w:ascii="Times New Roman" w:hAnsi="Times New Roman"/>
          <w:sz w:val="20"/>
          <w:szCs w:val="20"/>
        </w:rPr>
        <w:t>D</w:t>
      </w:r>
      <w:r>
        <w:rPr>
          <w:rFonts w:ascii="Times New Roman" w:hAnsi="Times New Roman"/>
          <w:sz w:val="20"/>
          <w:szCs w:val="20"/>
        </w:rPr>
        <w:t>.</w:t>
      </w:r>
      <w:r w:rsidRPr="008A113B">
        <w:rPr>
          <w:rFonts w:ascii="Times New Roman" w:hAnsi="Times New Roman"/>
          <w:sz w:val="20"/>
          <w:szCs w:val="20"/>
        </w:rPr>
        <w:t xml:space="preserve"> </w:t>
      </w:r>
      <w:proofErr w:type="spellStart"/>
      <w:r w:rsidRPr="008A113B">
        <w:rPr>
          <w:rFonts w:ascii="Times New Roman" w:hAnsi="Times New Roman"/>
          <w:sz w:val="20"/>
          <w:szCs w:val="20"/>
        </w:rPr>
        <w:t>Doli</w:t>
      </w:r>
      <w:proofErr w:type="spellEnd"/>
      <w:r>
        <w:rPr>
          <w:rFonts w:ascii="Times New Roman" w:hAnsi="Times New Roman"/>
          <w:sz w:val="20"/>
          <w:szCs w:val="20"/>
        </w:rPr>
        <w:t xml:space="preserve">, </w:t>
      </w:r>
      <w:r w:rsidRPr="008A113B">
        <w:rPr>
          <w:rFonts w:ascii="Times New Roman" w:hAnsi="Times New Roman"/>
          <w:i/>
          <w:sz w:val="20"/>
          <w:szCs w:val="20"/>
        </w:rPr>
        <w:t xml:space="preserve">No more unconditional "mutual trust" between the Member States: an analysis of the landmark decision of the CJEU in </w:t>
      </w:r>
      <w:proofErr w:type="spellStart"/>
      <w:r w:rsidRPr="008A113B">
        <w:rPr>
          <w:rFonts w:ascii="Times New Roman" w:hAnsi="Times New Roman"/>
          <w:i/>
          <w:sz w:val="20"/>
          <w:szCs w:val="20"/>
        </w:rPr>
        <w:t>Aranyosi</w:t>
      </w:r>
      <w:proofErr w:type="spellEnd"/>
      <w:r w:rsidRPr="008A113B">
        <w:rPr>
          <w:rFonts w:ascii="Times New Roman" w:hAnsi="Times New Roman"/>
          <w:i/>
          <w:sz w:val="20"/>
          <w:szCs w:val="20"/>
        </w:rPr>
        <w:t xml:space="preserve"> and </w:t>
      </w:r>
      <w:proofErr w:type="spellStart"/>
      <w:r w:rsidRPr="008A113B">
        <w:rPr>
          <w:rFonts w:ascii="Times New Roman" w:hAnsi="Times New Roman"/>
          <w:i/>
          <w:sz w:val="20"/>
          <w:szCs w:val="20"/>
        </w:rPr>
        <w:t>Căldăraru</w:t>
      </w:r>
      <w:proofErr w:type="spellEnd"/>
      <w:r>
        <w:rPr>
          <w:rFonts w:ascii="Times New Roman" w:hAnsi="Times New Roman"/>
          <w:sz w:val="20"/>
          <w:szCs w:val="20"/>
        </w:rPr>
        <w:t xml:space="preserve">, 21 </w:t>
      </w:r>
      <w:r w:rsidRPr="004C5999">
        <w:rPr>
          <w:rFonts w:ascii="Times New Roman" w:hAnsi="Times New Roman"/>
          <w:sz w:val="20"/>
          <w:szCs w:val="20"/>
        </w:rPr>
        <w:t>E.H.R.L.R. (2016), p. 542-555</w:t>
      </w:r>
      <w:r>
        <w:rPr>
          <w:rFonts w:ascii="Times New Roman" w:hAnsi="Times New Roman"/>
          <w:sz w:val="20"/>
          <w:szCs w:val="20"/>
        </w:rPr>
        <w:t>.</w:t>
      </w:r>
    </w:p>
  </w:footnote>
  <w:footnote w:id="12">
    <w:p w14:paraId="75E9460F" w14:textId="48DA92D5" w:rsidR="003D4C37" w:rsidRPr="00EF2246" w:rsidRDefault="003D4C37">
      <w:pPr>
        <w:pStyle w:val="Footnote"/>
        <w:jc w:val="both"/>
        <w:rPr>
          <w:sz w:val="20"/>
          <w:szCs w:val="20"/>
        </w:rPr>
      </w:pPr>
      <w:r w:rsidRPr="00EF2246">
        <w:rPr>
          <w:rFonts w:ascii="Times New Roman" w:eastAsia="Times New Roman" w:hAnsi="Times New Roman" w:cs="Times New Roman"/>
          <w:sz w:val="20"/>
          <w:szCs w:val="20"/>
          <w:vertAlign w:val="superscript"/>
        </w:rPr>
        <w:footnoteRef/>
      </w:r>
      <w:r w:rsidRPr="00EF2246">
        <w:rPr>
          <w:rFonts w:ascii="Times New Roman" w:hAnsi="Times New Roman"/>
          <w:sz w:val="20"/>
          <w:szCs w:val="20"/>
        </w:rPr>
        <w:t xml:space="preserve"> </w:t>
      </w:r>
      <w:r w:rsidRPr="00EF2246">
        <w:rPr>
          <w:rFonts w:ascii="Times New Roman" w:hAnsi="Times New Roman"/>
          <w:sz w:val="20"/>
          <w:szCs w:val="20"/>
          <w:lang w:val="en-US"/>
        </w:rPr>
        <w:t xml:space="preserve">The Court does so under the preliminary ruling procedure laid down in Article 267 TFEU. See further, </w:t>
      </w:r>
      <w:r w:rsidRPr="00EF2246">
        <w:rPr>
          <w:rFonts w:ascii="Times New Roman" w:hAnsi="Times New Roman"/>
          <w:i/>
          <w:iCs/>
          <w:sz w:val="20"/>
          <w:szCs w:val="20"/>
          <w:lang w:val="en-US"/>
        </w:rPr>
        <w:t>inter alia</w:t>
      </w:r>
      <w:r w:rsidRPr="00EF2246">
        <w:rPr>
          <w:rFonts w:ascii="Times New Roman" w:hAnsi="Times New Roman"/>
          <w:sz w:val="20"/>
          <w:szCs w:val="20"/>
          <w:lang w:val="en-US"/>
        </w:rPr>
        <w:t xml:space="preserve">, </w:t>
      </w:r>
      <w:r w:rsidRPr="000B4523">
        <w:rPr>
          <w:rFonts w:ascii="Times New Roman" w:hAnsi="Times New Roman"/>
          <w:sz w:val="20"/>
          <w:szCs w:val="20"/>
          <w:lang w:val="en-US"/>
        </w:rPr>
        <w:t>M</w:t>
      </w:r>
      <w:r>
        <w:rPr>
          <w:rFonts w:ascii="Times New Roman" w:hAnsi="Times New Roman"/>
          <w:sz w:val="20"/>
          <w:szCs w:val="20"/>
          <w:lang w:val="en-US"/>
        </w:rPr>
        <w:t xml:space="preserve">. </w:t>
      </w:r>
      <w:proofErr w:type="spellStart"/>
      <w:r w:rsidRPr="000B4523">
        <w:rPr>
          <w:rFonts w:ascii="Times New Roman" w:hAnsi="Times New Roman"/>
          <w:sz w:val="20"/>
          <w:szCs w:val="20"/>
          <w:lang w:val="en-US"/>
        </w:rPr>
        <w:t>Broberg</w:t>
      </w:r>
      <w:proofErr w:type="spellEnd"/>
      <w:r w:rsidRPr="000B4523">
        <w:rPr>
          <w:rFonts w:ascii="Times New Roman" w:hAnsi="Times New Roman"/>
          <w:sz w:val="20"/>
          <w:szCs w:val="20"/>
          <w:lang w:val="en-US"/>
        </w:rPr>
        <w:t>, N</w:t>
      </w:r>
      <w:r>
        <w:rPr>
          <w:rFonts w:ascii="Times New Roman" w:hAnsi="Times New Roman"/>
          <w:sz w:val="20"/>
          <w:szCs w:val="20"/>
          <w:lang w:val="en-US"/>
        </w:rPr>
        <w:t>.</w:t>
      </w:r>
      <w:r w:rsidRPr="000B4523">
        <w:rPr>
          <w:rFonts w:ascii="Times New Roman" w:hAnsi="Times New Roman"/>
          <w:sz w:val="20"/>
          <w:szCs w:val="20"/>
          <w:lang w:val="en-US"/>
        </w:rPr>
        <w:t xml:space="preserve"> </w:t>
      </w:r>
      <w:proofErr w:type="spellStart"/>
      <w:r w:rsidRPr="000B4523">
        <w:rPr>
          <w:rFonts w:ascii="Times New Roman" w:hAnsi="Times New Roman"/>
          <w:sz w:val="20"/>
          <w:szCs w:val="20"/>
          <w:lang w:val="en-US"/>
        </w:rPr>
        <w:t>Fenger</w:t>
      </w:r>
      <w:proofErr w:type="spellEnd"/>
      <w:r>
        <w:rPr>
          <w:rFonts w:ascii="Times New Roman" w:hAnsi="Times New Roman"/>
          <w:sz w:val="20"/>
          <w:szCs w:val="20"/>
          <w:lang w:val="en-US"/>
        </w:rPr>
        <w:t xml:space="preserve">, </w:t>
      </w:r>
      <w:r w:rsidRPr="00B456B0">
        <w:rPr>
          <w:rFonts w:ascii="Times New Roman" w:hAnsi="Times New Roman"/>
          <w:i/>
          <w:sz w:val="20"/>
          <w:szCs w:val="20"/>
          <w:lang w:val="en-US"/>
        </w:rPr>
        <w:t>Preliminary References to the European Court of Justice</w:t>
      </w:r>
      <w:r>
        <w:rPr>
          <w:rFonts w:ascii="Times New Roman" w:hAnsi="Times New Roman"/>
          <w:sz w:val="20"/>
          <w:szCs w:val="20"/>
          <w:lang w:val="en-US"/>
        </w:rPr>
        <w:t>, 2</w:t>
      </w:r>
      <w:r w:rsidRPr="00B456B0">
        <w:rPr>
          <w:rFonts w:ascii="Times New Roman" w:hAnsi="Times New Roman"/>
          <w:sz w:val="20"/>
          <w:szCs w:val="20"/>
          <w:vertAlign w:val="superscript"/>
          <w:lang w:val="en-US"/>
        </w:rPr>
        <w:t>nd</w:t>
      </w:r>
      <w:r>
        <w:rPr>
          <w:rFonts w:ascii="Times New Roman" w:hAnsi="Times New Roman"/>
          <w:sz w:val="20"/>
          <w:szCs w:val="20"/>
          <w:lang w:val="en-US"/>
        </w:rPr>
        <w:t xml:space="preserve"> ed., Oxford University Press, Oxford 2014.</w:t>
      </w:r>
    </w:p>
  </w:footnote>
  <w:footnote w:id="13">
    <w:p w14:paraId="1131A38A" w14:textId="07DBBA51" w:rsidR="003D4C37" w:rsidRPr="00C52D5F" w:rsidRDefault="003D4C37" w:rsidP="00C52D5F">
      <w:pPr>
        <w:pStyle w:val="Footnote"/>
        <w:jc w:val="both"/>
        <w:rPr>
          <w:sz w:val="20"/>
          <w:szCs w:val="20"/>
        </w:rPr>
      </w:pPr>
      <w:r w:rsidRPr="00C52D5F">
        <w:rPr>
          <w:rFonts w:ascii="Times New Roman" w:eastAsia="Times New Roman" w:hAnsi="Times New Roman" w:cs="Times New Roman"/>
          <w:sz w:val="20"/>
          <w:szCs w:val="20"/>
          <w:vertAlign w:val="superscript"/>
        </w:rPr>
        <w:footnoteRef/>
      </w:r>
      <w:r w:rsidRPr="00C52D5F">
        <w:rPr>
          <w:rFonts w:ascii="Times New Roman" w:hAnsi="Times New Roman"/>
          <w:sz w:val="20"/>
          <w:szCs w:val="20"/>
        </w:rPr>
        <w:t xml:space="preserve"> </w:t>
      </w:r>
      <w:r w:rsidR="00E95DDA">
        <w:rPr>
          <w:rFonts w:ascii="Times New Roman" w:hAnsi="Times New Roman"/>
          <w:sz w:val="20"/>
          <w:szCs w:val="20"/>
        </w:rPr>
        <w:t xml:space="preserve">W. Van </w:t>
      </w:r>
      <w:proofErr w:type="spellStart"/>
      <w:r w:rsidR="00E95DDA">
        <w:rPr>
          <w:rFonts w:ascii="Times New Roman" w:hAnsi="Times New Roman"/>
          <w:sz w:val="20"/>
          <w:szCs w:val="20"/>
        </w:rPr>
        <w:t>Ballegooij</w:t>
      </w:r>
      <w:proofErr w:type="spellEnd"/>
      <w:r w:rsidR="00E95DDA">
        <w:rPr>
          <w:rFonts w:ascii="Times New Roman" w:hAnsi="Times New Roman"/>
          <w:sz w:val="20"/>
          <w:szCs w:val="20"/>
        </w:rPr>
        <w:t xml:space="preserve">, P. </w:t>
      </w:r>
      <w:proofErr w:type="spellStart"/>
      <w:r w:rsidR="00E95DDA">
        <w:rPr>
          <w:rFonts w:ascii="Times New Roman" w:hAnsi="Times New Roman"/>
          <w:sz w:val="20"/>
          <w:szCs w:val="20"/>
        </w:rPr>
        <w:t>Bárd</w:t>
      </w:r>
      <w:proofErr w:type="spellEnd"/>
      <w:r w:rsidR="00E95DDA">
        <w:rPr>
          <w:rFonts w:ascii="Times New Roman" w:hAnsi="Times New Roman"/>
          <w:sz w:val="20"/>
          <w:szCs w:val="20"/>
        </w:rPr>
        <w:t xml:space="preserve">, </w:t>
      </w:r>
      <w:r w:rsidR="00E95DDA" w:rsidRPr="00BF5967">
        <w:rPr>
          <w:rFonts w:ascii="Times New Roman" w:hAnsi="Times New Roman"/>
          <w:i/>
          <w:sz w:val="20"/>
          <w:szCs w:val="20"/>
        </w:rPr>
        <w:t xml:space="preserve">Mutual Recognition and Individual Rights. Did the Court Get it </w:t>
      </w:r>
      <w:proofErr w:type="gramStart"/>
      <w:r w:rsidR="00E95DDA" w:rsidRPr="00BF5967">
        <w:rPr>
          <w:rFonts w:ascii="Times New Roman" w:hAnsi="Times New Roman"/>
          <w:i/>
          <w:sz w:val="20"/>
          <w:szCs w:val="20"/>
        </w:rPr>
        <w:t>Right?</w:t>
      </w:r>
      <w:r w:rsidR="00E95DDA">
        <w:rPr>
          <w:rFonts w:ascii="Times New Roman" w:hAnsi="Times New Roman"/>
          <w:sz w:val="20"/>
          <w:szCs w:val="20"/>
        </w:rPr>
        <w:t>,</w:t>
      </w:r>
      <w:proofErr w:type="gramEnd"/>
      <w:r w:rsidR="00E95DDA">
        <w:rPr>
          <w:rFonts w:ascii="Times New Roman" w:hAnsi="Times New Roman"/>
          <w:sz w:val="20"/>
          <w:szCs w:val="20"/>
        </w:rPr>
        <w:t xml:space="preserve"> 7 NJEUCL (2016) pp. 439-464, at p. 462.</w:t>
      </w:r>
    </w:p>
  </w:footnote>
  <w:footnote w:id="14">
    <w:p w14:paraId="385BA2CD" w14:textId="138778B7" w:rsidR="003D4C37" w:rsidRPr="00BF5967" w:rsidRDefault="003D4C37" w:rsidP="00BF5967">
      <w:pPr>
        <w:pStyle w:val="Footnote"/>
        <w:jc w:val="both"/>
        <w:rPr>
          <w:sz w:val="20"/>
          <w:szCs w:val="20"/>
        </w:rPr>
      </w:pPr>
      <w:r w:rsidRPr="00BF5967">
        <w:rPr>
          <w:rFonts w:ascii="Times New Roman" w:eastAsia="Times New Roman" w:hAnsi="Times New Roman" w:cs="Times New Roman"/>
          <w:sz w:val="20"/>
          <w:szCs w:val="20"/>
          <w:vertAlign w:val="superscript"/>
        </w:rPr>
        <w:footnoteRef/>
      </w:r>
      <w:r w:rsidRPr="00BF5967">
        <w:rPr>
          <w:rFonts w:ascii="Times New Roman" w:hAnsi="Times New Roman"/>
          <w:sz w:val="20"/>
          <w:szCs w:val="20"/>
        </w:rPr>
        <w:t xml:space="preserve"> </w:t>
      </w:r>
      <w:r w:rsidR="00062F45" w:rsidRPr="00C52D5F">
        <w:rPr>
          <w:rFonts w:ascii="Times New Roman" w:hAnsi="Times New Roman"/>
          <w:sz w:val="20"/>
          <w:szCs w:val="20"/>
        </w:rPr>
        <w:t xml:space="preserve">Case C-216/18 PPU </w:t>
      </w:r>
      <w:r w:rsidR="00062F45" w:rsidRPr="00C52D5F">
        <w:rPr>
          <w:rFonts w:ascii="Times New Roman" w:hAnsi="Times New Roman"/>
          <w:i/>
          <w:sz w:val="20"/>
          <w:szCs w:val="20"/>
        </w:rPr>
        <w:t>LM</w:t>
      </w:r>
      <w:r w:rsidR="00062F45" w:rsidRPr="00C52D5F">
        <w:rPr>
          <w:rFonts w:ascii="Times New Roman" w:hAnsi="Times New Roman"/>
          <w:sz w:val="20"/>
          <w:szCs w:val="20"/>
        </w:rPr>
        <w:t xml:space="preserve">, ECLI:EU:C:2018:586; Case C-220/18PPU </w:t>
      </w:r>
      <w:r w:rsidR="00062F45" w:rsidRPr="00C52D5F">
        <w:rPr>
          <w:rFonts w:ascii="Times New Roman" w:hAnsi="Times New Roman"/>
          <w:i/>
          <w:sz w:val="20"/>
          <w:szCs w:val="20"/>
        </w:rPr>
        <w:t>ML</w:t>
      </w:r>
      <w:r w:rsidR="00062F45" w:rsidRPr="00C52D5F">
        <w:rPr>
          <w:rFonts w:ascii="Times New Roman" w:hAnsi="Times New Roman"/>
          <w:sz w:val="20"/>
          <w:szCs w:val="20"/>
        </w:rPr>
        <w:t xml:space="preserve">, ECLI:EU:C:2018:589; Case C-327/18PPU </w:t>
      </w:r>
      <w:r w:rsidR="00062F45" w:rsidRPr="00C52D5F">
        <w:rPr>
          <w:rFonts w:ascii="Times New Roman" w:hAnsi="Times New Roman"/>
          <w:i/>
          <w:sz w:val="20"/>
          <w:szCs w:val="20"/>
        </w:rPr>
        <w:t>RO</w:t>
      </w:r>
      <w:r w:rsidR="00062F45" w:rsidRPr="00C52D5F">
        <w:rPr>
          <w:rFonts w:ascii="Times New Roman" w:hAnsi="Times New Roman"/>
          <w:sz w:val="20"/>
          <w:szCs w:val="20"/>
        </w:rPr>
        <w:t>, ECLI:EU:C:2018:733.</w:t>
      </w:r>
    </w:p>
  </w:footnote>
  <w:footnote w:id="15">
    <w:p w14:paraId="2E8158C2" w14:textId="058EB2EB" w:rsidR="003D4C37" w:rsidRPr="00160D8F" w:rsidRDefault="003D4C37">
      <w:pPr>
        <w:pStyle w:val="Footnote"/>
        <w:jc w:val="both"/>
        <w:rPr>
          <w:sz w:val="20"/>
          <w:szCs w:val="20"/>
        </w:rPr>
      </w:pPr>
      <w:r w:rsidRPr="00160D8F">
        <w:rPr>
          <w:rFonts w:ascii="Times New Roman" w:eastAsia="Times New Roman" w:hAnsi="Times New Roman" w:cs="Times New Roman"/>
          <w:sz w:val="20"/>
          <w:szCs w:val="20"/>
          <w:vertAlign w:val="superscript"/>
        </w:rPr>
        <w:footnoteRef/>
      </w:r>
      <w:r w:rsidRPr="00160D8F">
        <w:rPr>
          <w:rFonts w:ascii="Times New Roman" w:hAnsi="Times New Roman"/>
          <w:sz w:val="20"/>
          <w:szCs w:val="20"/>
        </w:rPr>
        <w:t xml:space="preserve"> Council Framework Decision 2002/584/JHA of 13 June 2002 on the European arrest warrant and the surrender procedures between Member States [2002] OJ L190/1. For an academic appraisal see, </w:t>
      </w:r>
      <w:r w:rsidRPr="00F43DD9">
        <w:rPr>
          <w:rFonts w:ascii="Times New Roman" w:hAnsi="Times New Roman"/>
          <w:i/>
          <w:sz w:val="20"/>
          <w:szCs w:val="20"/>
        </w:rPr>
        <w:t>inter alia</w:t>
      </w:r>
      <w:r w:rsidRPr="00160D8F">
        <w:rPr>
          <w:rFonts w:ascii="Times New Roman" w:hAnsi="Times New Roman"/>
          <w:sz w:val="20"/>
          <w:szCs w:val="20"/>
        </w:rPr>
        <w:t>, R</w:t>
      </w:r>
      <w:r>
        <w:rPr>
          <w:rFonts w:ascii="Times New Roman" w:hAnsi="Times New Roman"/>
          <w:sz w:val="20"/>
          <w:szCs w:val="20"/>
        </w:rPr>
        <w:t>.</w:t>
      </w:r>
      <w:r w:rsidRPr="00160D8F">
        <w:rPr>
          <w:rFonts w:ascii="Times New Roman" w:hAnsi="Times New Roman"/>
          <w:sz w:val="20"/>
          <w:szCs w:val="20"/>
        </w:rPr>
        <w:t xml:space="preserve"> </w:t>
      </w:r>
      <w:proofErr w:type="spellStart"/>
      <w:r w:rsidRPr="00160D8F">
        <w:rPr>
          <w:rFonts w:ascii="Times New Roman" w:hAnsi="Times New Roman"/>
          <w:sz w:val="20"/>
          <w:szCs w:val="20"/>
        </w:rPr>
        <w:t>Blekxtoon</w:t>
      </w:r>
      <w:proofErr w:type="spellEnd"/>
      <w:r w:rsidRPr="00160D8F">
        <w:rPr>
          <w:rFonts w:ascii="Times New Roman" w:hAnsi="Times New Roman"/>
          <w:sz w:val="20"/>
          <w:szCs w:val="20"/>
        </w:rPr>
        <w:t>, W</w:t>
      </w:r>
      <w:r>
        <w:rPr>
          <w:rFonts w:ascii="Times New Roman" w:hAnsi="Times New Roman"/>
          <w:sz w:val="20"/>
          <w:szCs w:val="20"/>
        </w:rPr>
        <w:t>.</w:t>
      </w:r>
      <w:r w:rsidRPr="00160D8F">
        <w:rPr>
          <w:rFonts w:ascii="Times New Roman" w:hAnsi="Times New Roman"/>
          <w:sz w:val="20"/>
          <w:szCs w:val="20"/>
        </w:rPr>
        <w:t xml:space="preserve"> van </w:t>
      </w:r>
      <w:proofErr w:type="spellStart"/>
      <w:r w:rsidRPr="00160D8F">
        <w:rPr>
          <w:rFonts w:ascii="Times New Roman" w:hAnsi="Times New Roman"/>
          <w:sz w:val="20"/>
          <w:szCs w:val="20"/>
        </w:rPr>
        <w:t>Ballegooij</w:t>
      </w:r>
      <w:proofErr w:type="spellEnd"/>
      <w:r w:rsidRPr="00160D8F">
        <w:rPr>
          <w:rFonts w:ascii="Times New Roman" w:hAnsi="Times New Roman"/>
          <w:sz w:val="20"/>
          <w:szCs w:val="20"/>
        </w:rPr>
        <w:t xml:space="preserve"> (</w:t>
      </w:r>
      <w:proofErr w:type="spellStart"/>
      <w:r w:rsidRPr="00160D8F">
        <w:rPr>
          <w:rFonts w:ascii="Times New Roman" w:hAnsi="Times New Roman"/>
          <w:sz w:val="20"/>
          <w:szCs w:val="20"/>
        </w:rPr>
        <w:t>eds</w:t>
      </w:r>
      <w:proofErr w:type="spellEnd"/>
      <w:r w:rsidRPr="00160D8F">
        <w:rPr>
          <w:rFonts w:ascii="Times New Roman" w:hAnsi="Times New Roman"/>
          <w:sz w:val="20"/>
          <w:szCs w:val="20"/>
        </w:rPr>
        <w:t xml:space="preserve">), </w:t>
      </w:r>
      <w:r w:rsidRPr="00F43DD9">
        <w:rPr>
          <w:rFonts w:ascii="Times New Roman" w:hAnsi="Times New Roman"/>
          <w:i/>
          <w:sz w:val="20"/>
          <w:szCs w:val="20"/>
        </w:rPr>
        <w:t>Handbook on the European Arrest Warrant</w:t>
      </w:r>
      <w:r>
        <w:rPr>
          <w:rFonts w:ascii="Times New Roman" w:hAnsi="Times New Roman"/>
          <w:sz w:val="20"/>
          <w:szCs w:val="20"/>
        </w:rPr>
        <w:t>, Asser Press, The Hague 2005</w:t>
      </w:r>
      <w:r w:rsidRPr="00160D8F">
        <w:rPr>
          <w:rFonts w:ascii="Times New Roman" w:hAnsi="Times New Roman"/>
          <w:sz w:val="20"/>
          <w:szCs w:val="20"/>
        </w:rPr>
        <w:t>; N</w:t>
      </w:r>
      <w:r>
        <w:rPr>
          <w:rFonts w:ascii="Times New Roman" w:hAnsi="Times New Roman"/>
          <w:sz w:val="20"/>
          <w:szCs w:val="20"/>
        </w:rPr>
        <w:t>.</w:t>
      </w:r>
      <w:r w:rsidRPr="00160D8F">
        <w:rPr>
          <w:rFonts w:ascii="Times New Roman" w:hAnsi="Times New Roman"/>
          <w:sz w:val="20"/>
          <w:szCs w:val="20"/>
        </w:rPr>
        <w:t xml:space="preserve"> Keizer and E</w:t>
      </w:r>
      <w:r>
        <w:rPr>
          <w:rFonts w:ascii="Times New Roman" w:hAnsi="Times New Roman"/>
          <w:sz w:val="20"/>
          <w:szCs w:val="20"/>
        </w:rPr>
        <w:t>.</w:t>
      </w:r>
      <w:r w:rsidRPr="00160D8F">
        <w:rPr>
          <w:rFonts w:ascii="Times New Roman" w:hAnsi="Times New Roman"/>
          <w:sz w:val="20"/>
          <w:szCs w:val="20"/>
        </w:rPr>
        <w:t xml:space="preserve"> van </w:t>
      </w:r>
      <w:proofErr w:type="spellStart"/>
      <w:r w:rsidRPr="00160D8F">
        <w:rPr>
          <w:rFonts w:ascii="Times New Roman" w:hAnsi="Times New Roman"/>
          <w:sz w:val="20"/>
          <w:szCs w:val="20"/>
        </w:rPr>
        <w:t>Sliedregt</w:t>
      </w:r>
      <w:proofErr w:type="spellEnd"/>
      <w:r w:rsidRPr="00160D8F">
        <w:rPr>
          <w:rFonts w:ascii="Times New Roman" w:hAnsi="Times New Roman"/>
          <w:sz w:val="20"/>
          <w:szCs w:val="20"/>
        </w:rPr>
        <w:t xml:space="preserve"> (</w:t>
      </w:r>
      <w:proofErr w:type="spellStart"/>
      <w:r w:rsidRPr="00160D8F">
        <w:rPr>
          <w:rFonts w:ascii="Times New Roman" w:hAnsi="Times New Roman"/>
          <w:sz w:val="20"/>
          <w:szCs w:val="20"/>
        </w:rPr>
        <w:t>eds</w:t>
      </w:r>
      <w:proofErr w:type="spellEnd"/>
      <w:r w:rsidRPr="00160D8F">
        <w:rPr>
          <w:rFonts w:ascii="Times New Roman" w:hAnsi="Times New Roman"/>
          <w:sz w:val="20"/>
          <w:szCs w:val="20"/>
        </w:rPr>
        <w:t xml:space="preserve">), </w:t>
      </w:r>
      <w:r w:rsidRPr="00F43DD9">
        <w:rPr>
          <w:rFonts w:ascii="Times New Roman" w:hAnsi="Times New Roman"/>
          <w:i/>
          <w:sz w:val="20"/>
          <w:szCs w:val="20"/>
        </w:rPr>
        <w:t>The European Arrest Warrant in Practice</w:t>
      </w:r>
      <w:r>
        <w:rPr>
          <w:rFonts w:ascii="Times New Roman" w:hAnsi="Times New Roman"/>
          <w:sz w:val="20"/>
          <w:szCs w:val="20"/>
        </w:rPr>
        <w:t>, Asser Press, The Hauge 2009</w:t>
      </w:r>
      <w:r w:rsidRPr="00160D8F">
        <w:rPr>
          <w:rFonts w:ascii="Times New Roman" w:hAnsi="Times New Roman"/>
          <w:sz w:val="20"/>
          <w:szCs w:val="20"/>
        </w:rPr>
        <w:t>.</w:t>
      </w:r>
    </w:p>
  </w:footnote>
  <w:footnote w:id="16">
    <w:p w14:paraId="3336CC7D" w14:textId="7D1143C4" w:rsidR="003D4C37" w:rsidRPr="001B1C23" w:rsidRDefault="003D4C37" w:rsidP="002600B8">
      <w:pPr>
        <w:pStyle w:val="Footnote"/>
        <w:jc w:val="both"/>
        <w:rPr>
          <w:sz w:val="20"/>
          <w:szCs w:val="20"/>
        </w:rPr>
      </w:pPr>
      <w:r w:rsidRPr="001B1C23">
        <w:rPr>
          <w:rFonts w:ascii="Times New Roman" w:eastAsia="Times New Roman" w:hAnsi="Times New Roman" w:cs="Times New Roman"/>
          <w:sz w:val="20"/>
          <w:szCs w:val="20"/>
          <w:vertAlign w:val="superscript"/>
        </w:rPr>
        <w:footnoteRef/>
      </w:r>
      <w:r w:rsidRPr="001B1C23">
        <w:rPr>
          <w:rFonts w:ascii="Times New Roman" w:hAnsi="Times New Roman"/>
          <w:sz w:val="20"/>
          <w:szCs w:val="20"/>
        </w:rPr>
        <w:t xml:space="preserve"> See further, A</w:t>
      </w:r>
      <w:r>
        <w:rPr>
          <w:rFonts w:ascii="Times New Roman" w:hAnsi="Times New Roman"/>
          <w:sz w:val="20"/>
          <w:szCs w:val="20"/>
        </w:rPr>
        <w:t>.</w:t>
      </w:r>
      <w:r w:rsidRPr="001B1C23">
        <w:rPr>
          <w:rFonts w:ascii="Times New Roman" w:hAnsi="Times New Roman"/>
          <w:sz w:val="20"/>
          <w:szCs w:val="20"/>
        </w:rPr>
        <w:t xml:space="preserve"> </w:t>
      </w:r>
      <w:proofErr w:type="spellStart"/>
      <w:r w:rsidRPr="001B1C23">
        <w:rPr>
          <w:rFonts w:ascii="Times New Roman" w:hAnsi="Times New Roman"/>
          <w:sz w:val="20"/>
          <w:szCs w:val="20"/>
        </w:rPr>
        <w:t>Łazowski</w:t>
      </w:r>
      <w:proofErr w:type="spellEnd"/>
      <w:r w:rsidRPr="001B1C23">
        <w:rPr>
          <w:rFonts w:ascii="Times New Roman" w:hAnsi="Times New Roman"/>
          <w:sz w:val="20"/>
          <w:szCs w:val="20"/>
        </w:rPr>
        <w:t>, B</w:t>
      </w:r>
      <w:r>
        <w:rPr>
          <w:rFonts w:ascii="Times New Roman" w:hAnsi="Times New Roman"/>
          <w:sz w:val="20"/>
          <w:szCs w:val="20"/>
        </w:rPr>
        <w:t>.</w:t>
      </w:r>
      <w:r w:rsidRPr="001B1C23">
        <w:rPr>
          <w:rFonts w:ascii="Times New Roman" w:hAnsi="Times New Roman"/>
          <w:sz w:val="20"/>
          <w:szCs w:val="20"/>
        </w:rPr>
        <w:t xml:space="preserve"> </w:t>
      </w:r>
      <w:proofErr w:type="spellStart"/>
      <w:r w:rsidRPr="001B1C23">
        <w:rPr>
          <w:rFonts w:ascii="Times New Roman" w:hAnsi="Times New Roman"/>
          <w:sz w:val="20"/>
          <w:szCs w:val="20"/>
        </w:rPr>
        <w:t>Kurcz</w:t>
      </w:r>
      <w:proofErr w:type="spellEnd"/>
      <w:r>
        <w:rPr>
          <w:rFonts w:ascii="Times New Roman" w:hAnsi="Times New Roman"/>
          <w:sz w:val="20"/>
          <w:szCs w:val="20"/>
        </w:rPr>
        <w:t xml:space="preserve">, </w:t>
      </w:r>
      <w:r w:rsidRPr="00DC5AA7">
        <w:rPr>
          <w:rFonts w:ascii="Times New Roman" w:hAnsi="Times New Roman"/>
          <w:i/>
          <w:sz w:val="20"/>
          <w:szCs w:val="20"/>
        </w:rPr>
        <w:t>Two</w:t>
      </w:r>
      <w:r>
        <w:rPr>
          <w:rFonts w:ascii="Times New Roman" w:hAnsi="Times New Roman"/>
          <w:i/>
          <w:sz w:val="20"/>
          <w:szCs w:val="20"/>
        </w:rPr>
        <w:t xml:space="preserve"> Sides of the Same Coin? Frame</w:t>
      </w:r>
      <w:r w:rsidRPr="00DC5AA7">
        <w:rPr>
          <w:rFonts w:ascii="Times New Roman" w:hAnsi="Times New Roman"/>
          <w:i/>
          <w:sz w:val="20"/>
          <w:szCs w:val="20"/>
        </w:rPr>
        <w:t>work Decisions and Directives Compared</w:t>
      </w:r>
      <w:r>
        <w:rPr>
          <w:rFonts w:ascii="Times New Roman" w:hAnsi="Times New Roman"/>
          <w:sz w:val="20"/>
          <w:szCs w:val="20"/>
        </w:rPr>
        <w:t xml:space="preserve">, </w:t>
      </w:r>
      <w:r w:rsidRPr="001B1C23">
        <w:rPr>
          <w:rFonts w:ascii="Times New Roman" w:hAnsi="Times New Roman"/>
          <w:sz w:val="20"/>
          <w:szCs w:val="20"/>
        </w:rPr>
        <w:t xml:space="preserve">25 </w:t>
      </w:r>
      <w:r>
        <w:rPr>
          <w:rFonts w:ascii="Times New Roman" w:hAnsi="Times New Roman"/>
          <w:sz w:val="20"/>
          <w:szCs w:val="20"/>
        </w:rPr>
        <w:t xml:space="preserve">YEL </w:t>
      </w:r>
      <w:r w:rsidRPr="001B1C23">
        <w:rPr>
          <w:rFonts w:ascii="Times New Roman" w:hAnsi="Times New Roman"/>
          <w:sz w:val="20"/>
          <w:szCs w:val="20"/>
        </w:rPr>
        <w:t xml:space="preserve">(2006) </w:t>
      </w:r>
      <w:r>
        <w:rPr>
          <w:rFonts w:ascii="Times New Roman" w:hAnsi="Times New Roman"/>
          <w:sz w:val="20"/>
          <w:szCs w:val="20"/>
        </w:rPr>
        <w:t xml:space="preserve">pp. 177–204. See also M.J. </w:t>
      </w:r>
      <w:proofErr w:type="spellStart"/>
      <w:r>
        <w:rPr>
          <w:rFonts w:ascii="Times New Roman" w:hAnsi="Times New Roman"/>
          <w:sz w:val="20"/>
          <w:szCs w:val="20"/>
        </w:rPr>
        <w:t>Borgers</w:t>
      </w:r>
      <w:proofErr w:type="spellEnd"/>
      <w:r>
        <w:rPr>
          <w:rFonts w:ascii="Times New Roman" w:hAnsi="Times New Roman"/>
          <w:sz w:val="20"/>
          <w:szCs w:val="20"/>
        </w:rPr>
        <w:t xml:space="preserve">, </w:t>
      </w:r>
      <w:r w:rsidRPr="00DC5AA7">
        <w:rPr>
          <w:rFonts w:ascii="Times New Roman" w:hAnsi="Times New Roman"/>
          <w:i/>
          <w:sz w:val="20"/>
          <w:szCs w:val="20"/>
        </w:rPr>
        <w:t>Implementing framework decisions</w:t>
      </w:r>
      <w:r>
        <w:rPr>
          <w:rFonts w:ascii="Times New Roman" w:hAnsi="Times New Roman"/>
          <w:sz w:val="20"/>
          <w:szCs w:val="20"/>
        </w:rPr>
        <w:t>,</w:t>
      </w:r>
      <w:r w:rsidRPr="001B1C23">
        <w:rPr>
          <w:rFonts w:ascii="Times New Roman" w:hAnsi="Times New Roman"/>
          <w:sz w:val="20"/>
          <w:szCs w:val="20"/>
        </w:rPr>
        <w:t xml:space="preserve"> 44 </w:t>
      </w:r>
      <w:proofErr w:type="spellStart"/>
      <w:r>
        <w:rPr>
          <w:rFonts w:ascii="Times New Roman" w:hAnsi="Times New Roman"/>
          <w:sz w:val="20"/>
          <w:szCs w:val="20"/>
        </w:rPr>
        <w:t>CMLRev</w:t>
      </w:r>
      <w:proofErr w:type="spellEnd"/>
      <w:r>
        <w:rPr>
          <w:rFonts w:ascii="Times New Roman" w:hAnsi="Times New Roman"/>
          <w:sz w:val="20"/>
          <w:szCs w:val="20"/>
        </w:rPr>
        <w:t xml:space="preserve">. </w:t>
      </w:r>
      <w:r w:rsidRPr="001B1C23">
        <w:rPr>
          <w:rFonts w:ascii="Times New Roman" w:hAnsi="Times New Roman"/>
          <w:sz w:val="20"/>
          <w:szCs w:val="20"/>
        </w:rPr>
        <w:t xml:space="preserve">(2007) </w:t>
      </w:r>
      <w:r>
        <w:rPr>
          <w:rFonts w:ascii="Times New Roman" w:hAnsi="Times New Roman"/>
          <w:sz w:val="20"/>
          <w:szCs w:val="20"/>
        </w:rPr>
        <w:t>pp.</w:t>
      </w:r>
      <w:r w:rsidRPr="001B1C23">
        <w:rPr>
          <w:rFonts w:ascii="Times New Roman" w:hAnsi="Times New Roman"/>
          <w:sz w:val="20"/>
          <w:szCs w:val="20"/>
        </w:rPr>
        <w:t xml:space="preserve"> 1361–</w:t>
      </w:r>
      <w:r>
        <w:rPr>
          <w:rFonts w:ascii="Times New Roman" w:hAnsi="Times New Roman"/>
          <w:sz w:val="20"/>
          <w:szCs w:val="20"/>
        </w:rPr>
        <w:t>13</w:t>
      </w:r>
      <w:r w:rsidRPr="001B1C23">
        <w:rPr>
          <w:rFonts w:ascii="Times New Roman" w:hAnsi="Times New Roman"/>
          <w:sz w:val="20"/>
          <w:szCs w:val="20"/>
        </w:rPr>
        <w:t>86</w:t>
      </w:r>
      <w:r>
        <w:rPr>
          <w:rFonts w:ascii="Times New Roman" w:hAnsi="Times New Roman"/>
          <w:sz w:val="20"/>
          <w:szCs w:val="20"/>
        </w:rPr>
        <w:t xml:space="preserve">; </w:t>
      </w:r>
      <w:r w:rsidRPr="002600B8">
        <w:rPr>
          <w:rFonts w:ascii="Times New Roman" w:hAnsi="Times New Roman"/>
          <w:sz w:val="20"/>
          <w:szCs w:val="20"/>
        </w:rPr>
        <w:t>A</w:t>
      </w:r>
      <w:r>
        <w:rPr>
          <w:rFonts w:ascii="Times New Roman" w:hAnsi="Times New Roman"/>
          <w:sz w:val="20"/>
          <w:szCs w:val="20"/>
        </w:rPr>
        <w:t xml:space="preserve">. </w:t>
      </w:r>
      <w:proofErr w:type="spellStart"/>
      <w:r>
        <w:rPr>
          <w:rFonts w:ascii="Times New Roman" w:hAnsi="Times New Roman"/>
          <w:sz w:val="20"/>
          <w:szCs w:val="20"/>
        </w:rPr>
        <w:t>Hinarejos</w:t>
      </w:r>
      <w:proofErr w:type="spellEnd"/>
      <w:r>
        <w:rPr>
          <w:rFonts w:ascii="Times New Roman" w:hAnsi="Times New Roman"/>
          <w:sz w:val="20"/>
          <w:szCs w:val="20"/>
        </w:rPr>
        <w:t xml:space="preserve">, </w:t>
      </w:r>
      <w:r w:rsidRPr="00850DD3">
        <w:rPr>
          <w:rFonts w:ascii="Times New Roman" w:hAnsi="Times New Roman"/>
          <w:i/>
          <w:sz w:val="20"/>
          <w:szCs w:val="20"/>
        </w:rPr>
        <w:t xml:space="preserve">On the legal effects of framework decisions and decisions: Directly applicable, directly effective, self-executing, </w:t>
      </w:r>
      <w:proofErr w:type="gramStart"/>
      <w:r w:rsidRPr="00850DD3">
        <w:rPr>
          <w:rFonts w:ascii="Times New Roman" w:hAnsi="Times New Roman"/>
          <w:i/>
          <w:sz w:val="20"/>
          <w:szCs w:val="20"/>
        </w:rPr>
        <w:t>supreme?</w:t>
      </w:r>
      <w:r>
        <w:rPr>
          <w:rFonts w:ascii="Times New Roman" w:hAnsi="Times New Roman"/>
          <w:sz w:val="20"/>
          <w:szCs w:val="20"/>
        </w:rPr>
        <w:t>,</w:t>
      </w:r>
      <w:proofErr w:type="gramEnd"/>
      <w:r w:rsidRPr="002600B8">
        <w:rPr>
          <w:rFonts w:ascii="Times New Roman" w:hAnsi="Times New Roman"/>
          <w:sz w:val="20"/>
          <w:szCs w:val="20"/>
        </w:rPr>
        <w:t xml:space="preserve"> </w:t>
      </w:r>
      <w:r>
        <w:rPr>
          <w:rFonts w:ascii="Times New Roman" w:hAnsi="Times New Roman"/>
          <w:sz w:val="20"/>
          <w:szCs w:val="20"/>
        </w:rPr>
        <w:t xml:space="preserve">14 ELJ (2008), pp. </w:t>
      </w:r>
      <w:r w:rsidRPr="002600B8">
        <w:rPr>
          <w:rFonts w:ascii="Times New Roman" w:hAnsi="Times New Roman"/>
          <w:sz w:val="20"/>
          <w:szCs w:val="20"/>
        </w:rPr>
        <w:t>20–34.</w:t>
      </w:r>
    </w:p>
  </w:footnote>
  <w:footnote w:id="17">
    <w:p w14:paraId="584FB239" w14:textId="7772E439" w:rsidR="003D4C37" w:rsidRPr="002B05B8" w:rsidRDefault="003D4C37" w:rsidP="00C27828">
      <w:pPr>
        <w:pStyle w:val="FootnoteText"/>
        <w:jc w:val="both"/>
        <w:rPr>
          <w:lang w:val="en-GB"/>
        </w:rPr>
      </w:pPr>
      <w:r>
        <w:rPr>
          <w:rStyle w:val="FootnoteReference"/>
        </w:rPr>
        <w:footnoteRef/>
      </w:r>
      <w:r>
        <w:t xml:space="preserve"> For a comprehensive overview, see, </w:t>
      </w:r>
      <w:r w:rsidRPr="00C27828">
        <w:rPr>
          <w:i/>
        </w:rPr>
        <w:t>inter alia</w:t>
      </w:r>
      <w:r>
        <w:t xml:space="preserve">, A. </w:t>
      </w:r>
      <w:proofErr w:type="spellStart"/>
      <w:r>
        <w:t>Hinarejos</w:t>
      </w:r>
      <w:proofErr w:type="spellEnd"/>
      <w:r>
        <w:t xml:space="preserve">, </w:t>
      </w:r>
      <w:r w:rsidRPr="00C27828">
        <w:rPr>
          <w:i/>
        </w:rPr>
        <w:t>Judicial Control in the European Union. Reforming Jurisdiction in the Intergovernmental Pillars</w:t>
      </w:r>
      <w:r>
        <w:t>, Oxford 2009.</w:t>
      </w:r>
    </w:p>
  </w:footnote>
  <w:footnote w:id="18">
    <w:p w14:paraId="0475143F" w14:textId="26CF06D6" w:rsidR="003D4C37" w:rsidRPr="0057573F" w:rsidRDefault="003D4C37">
      <w:pPr>
        <w:pStyle w:val="Footnote"/>
        <w:jc w:val="both"/>
        <w:rPr>
          <w:i/>
          <w:sz w:val="20"/>
          <w:szCs w:val="20"/>
        </w:rPr>
      </w:pPr>
      <w:r w:rsidRPr="00850DD3">
        <w:rPr>
          <w:rFonts w:ascii="Times New Roman" w:eastAsia="Times New Roman" w:hAnsi="Times New Roman" w:cs="Times New Roman"/>
          <w:sz w:val="20"/>
          <w:szCs w:val="20"/>
          <w:vertAlign w:val="superscript"/>
        </w:rPr>
        <w:footnoteRef/>
      </w:r>
      <w:r w:rsidRPr="00850DD3">
        <w:rPr>
          <w:rFonts w:ascii="Times New Roman" w:hAnsi="Times New Roman"/>
          <w:sz w:val="20"/>
          <w:szCs w:val="20"/>
        </w:rPr>
        <w:t xml:space="preserve"> A. </w:t>
      </w:r>
      <w:proofErr w:type="spellStart"/>
      <w:r w:rsidRPr="00850DD3">
        <w:rPr>
          <w:rFonts w:ascii="Times New Roman" w:hAnsi="Times New Roman"/>
          <w:sz w:val="20"/>
          <w:szCs w:val="20"/>
        </w:rPr>
        <w:t>Łazowski</w:t>
      </w:r>
      <w:proofErr w:type="spellEnd"/>
      <w:r>
        <w:rPr>
          <w:rFonts w:ascii="Times New Roman" w:hAnsi="Times New Roman"/>
          <w:sz w:val="20"/>
          <w:szCs w:val="20"/>
        </w:rPr>
        <w:t xml:space="preserve">, </w:t>
      </w:r>
      <w:r w:rsidRPr="00647FB2">
        <w:rPr>
          <w:rFonts w:ascii="Times New Roman" w:hAnsi="Times New Roman"/>
          <w:i/>
          <w:sz w:val="20"/>
          <w:szCs w:val="20"/>
        </w:rPr>
        <w:t>Stepping into Uncharted Waters No More: The Court of Justice and EU Criminal Law</w:t>
      </w:r>
      <w:r>
        <w:rPr>
          <w:rFonts w:ascii="Times New Roman" w:hAnsi="Times New Roman"/>
          <w:sz w:val="20"/>
          <w:szCs w:val="20"/>
        </w:rPr>
        <w:t xml:space="preserve">, in </w:t>
      </w:r>
      <w:r w:rsidRPr="0057573F">
        <w:rPr>
          <w:rFonts w:ascii="Times New Roman" w:hAnsi="Times New Roman"/>
          <w:sz w:val="20"/>
          <w:szCs w:val="20"/>
        </w:rPr>
        <w:t xml:space="preserve">C. </w:t>
      </w:r>
      <w:proofErr w:type="spellStart"/>
      <w:r w:rsidRPr="0057573F">
        <w:rPr>
          <w:rFonts w:ascii="Times New Roman" w:hAnsi="Times New Roman"/>
          <w:sz w:val="20"/>
          <w:szCs w:val="20"/>
        </w:rPr>
        <w:t>Brière</w:t>
      </w:r>
      <w:proofErr w:type="spellEnd"/>
      <w:r w:rsidRPr="0057573F">
        <w:rPr>
          <w:rFonts w:ascii="Times New Roman" w:hAnsi="Times New Roman"/>
          <w:sz w:val="20"/>
          <w:szCs w:val="20"/>
        </w:rPr>
        <w:t xml:space="preserve">, C. and A. </w:t>
      </w:r>
      <w:proofErr w:type="spellStart"/>
      <w:r w:rsidRPr="0057573F">
        <w:rPr>
          <w:rFonts w:ascii="Times New Roman" w:hAnsi="Times New Roman"/>
          <w:sz w:val="20"/>
          <w:szCs w:val="20"/>
        </w:rPr>
        <w:t>Weyembergh</w:t>
      </w:r>
      <w:proofErr w:type="spellEnd"/>
      <w:r w:rsidRPr="0057573F">
        <w:rPr>
          <w:rFonts w:ascii="Times New Roman" w:hAnsi="Times New Roman"/>
          <w:sz w:val="20"/>
          <w:szCs w:val="20"/>
        </w:rPr>
        <w:t xml:space="preserve">, (ed.) </w:t>
      </w:r>
      <w:r w:rsidRPr="0057573F">
        <w:rPr>
          <w:rFonts w:ascii="Times New Roman" w:hAnsi="Times New Roman"/>
          <w:i/>
          <w:sz w:val="20"/>
          <w:szCs w:val="20"/>
        </w:rPr>
        <w:t>The needed balances in EU Criminal Law: past present and future</w:t>
      </w:r>
      <w:r w:rsidRPr="0057573F">
        <w:rPr>
          <w:rFonts w:ascii="Times New Roman" w:hAnsi="Times New Roman"/>
          <w:sz w:val="20"/>
          <w:szCs w:val="20"/>
        </w:rPr>
        <w:t>, Oxford and Portland, Oregon Hart Publishing, 2017, pp. 111-139</w:t>
      </w:r>
      <w:r>
        <w:rPr>
          <w:rFonts w:ascii="Times New Roman" w:hAnsi="Times New Roman"/>
          <w:sz w:val="20"/>
          <w:szCs w:val="20"/>
        </w:rPr>
        <w:t>.</w:t>
      </w:r>
    </w:p>
  </w:footnote>
  <w:footnote w:id="19">
    <w:p w14:paraId="1A9658B4" w14:textId="6F45FB75" w:rsidR="003D4C37" w:rsidRPr="00E21F4D" w:rsidRDefault="003D4C37" w:rsidP="00DD1742">
      <w:pPr>
        <w:pStyle w:val="FootnoteText"/>
        <w:jc w:val="both"/>
        <w:rPr>
          <w:lang w:val="en-GB"/>
        </w:rPr>
      </w:pPr>
      <w:r>
        <w:rPr>
          <w:rStyle w:val="FootnoteReference"/>
        </w:rPr>
        <w:footnoteRef/>
      </w:r>
      <w:r>
        <w:t xml:space="preserve"> </w:t>
      </w:r>
      <w:r w:rsidRPr="007C3CBE">
        <w:t xml:space="preserve">Case C-303/05 </w:t>
      </w:r>
      <w:proofErr w:type="spellStart"/>
      <w:r w:rsidRPr="007C3CBE">
        <w:rPr>
          <w:i/>
        </w:rPr>
        <w:t>Advocaten</w:t>
      </w:r>
      <w:proofErr w:type="spellEnd"/>
      <w:r w:rsidRPr="007C3CBE">
        <w:rPr>
          <w:i/>
        </w:rPr>
        <w:t xml:space="preserve"> </w:t>
      </w:r>
      <w:proofErr w:type="spellStart"/>
      <w:r w:rsidRPr="007C3CBE">
        <w:rPr>
          <w:i/>
        </w:rPr>
        <w:t>voor</w:t>
      </w:r>
      <w:proofErr w:type="spellEnd"/>
      <w:r w:rsidRPr="007C3CBE">
        <w:rPr>
          <w:i/>
        </w:rPr>
        <w:t xml:space="preserve"> de </w:t>
      </w:r>
      <w:proofErr w:type="spellStart"/>
      <w:r w:rsidRPr="007C3CBE">
        <w:rPr>
          <w:i/>
        </w:rPr>
        <w:t>Wereld</w:t>
      </w:r>
      <w:proofErr w:type="spellEnd"/>
      <w:r w:rsidRPr="007C3CBE">
        <w:rPr>
          <w:i/>
        </w:rPr>
        <w:t xml:space="preserve"> VZW v </w:t>
      </w:r>
      <w:proofErr w:type="spellStart"/>
      <w:r w:rsidRPr="007C3CBE">
        <w:rPr>
          <w:i/>
        </w:rPr>
        <w:t>Leden</w:t>
      </w:r>
      <w:proofErr w:type="spellEnd"/>
      <w:r w:rsidRPr="007C3CBE">
        <w:rPr>
          <w:i/>
        </w:rPr>
        <w:t xml:space="preserve"> van de </w:t>
      </w:r>
      <w:proofErr w:type="spellStart"/>
      <w:r w:rsidRPr="007C3CBE">
        <w:rPr>
          <w:i/>
        </w:rPr>
        <w:t>Ministerraad</w:t>
      </w:r>
      <w:proofErr w:type="spellEnd"/>
      <w:r>
        <w:t>,</w:t>
      </w:r>
      <w:r w:rsidRPr="007C3CBE">
        <w:t xml:space="preserve"> ECLI:EU:C:2007:261</w:t>
      </w:r>
      <w:r>
        <w:t xml:space="preserve">; Case C-396/11 </w:t>
      </w:r>
      <w:proofErr w:type="spellStart"/>
      <w:r w:rsidRPr="008D3B00">
        <w:rPr>
          <w:i/>
        </w:rPr>
        <w:t>Ciprian</w:t>
      </w:r>
      <w:proofErr w:type="spellEnd"/>
      <w:r w:rsidRPr="008D3B00">
        <w:rPr>
          <w:i/>
        </w:rPr>
        <w:t xml:space="preserve"> </w:t>
      </w:r>
      <w:proofErr w:type="spellStart"/>
      <w:r w:rsidRPr="008D3B00">
        <w:rPr>
          <w:i/>
        </w:rPr>
        <w:t>Vasile</w:t>
      </w:r>
      <w:proofErr w:type="spellEnd"/>
      <w:r w:rsidRPr="008D3B00">
        <w:rPr>
          <w:i/>
        </w:rPr>
        <w:t xml:space="preserve"> Radu</w:t>
      </w:r>
      <w:r>
        <w:t xml:space="preserve">, </w:t>
      </w:r>
      <w:r w:rsidRPr="008D3B00">
        <w:t>ECLI:EU:C:2013:39</w:t>
      </w:r>
      <w:r>
        <w:t>.</w:t>
      </w:r>
    </w:p>
  </w:footnote>
  <w:footnote w:id="20">
    <w:p w14:paraId="14D5C47D" w14:textId="1A11A709" w:rsidR="003D4C37" w:rsidRPr="00A32CA7" w:rsidRDefault="003D4C37" w:rsidP="005D2A4D">
      <w:pPr>
        <w:pStyle w:val="FootnoteText"/>
        <w:jc w:val="both"/>
        <w:rPr>
          <w:lang w:val="en-GB"/>
        </w:rPr>
      </w:pPr>
      <w:r w:rsidRPr="004C651F">
        <w:rPr>
          <w:rStyle w:val="FootnoteReference"/>
        </w:rPr>
        <w:footnoteRef/>
      </w:r>
      <w:r w:rsidRPr="004C651F">
        <w:t xml:space="preserve"> </w:t>
      </w:r>
      <w:r>
        <w:t xml:space="preserve">See, </w:t>
      </w:r>
      <w:r w:rsidRPr="005D2A4D">
        <w:rPr>
          <w:i/>
        </w:rPr>
        <w:t>exempli gratia</w:t>
      </w:r>
      <w:r>
        <w:t xml:space="preserve">, </w:t>
      </w:r>
      <w:r w:rsidRPr="00A32CA7">
        <w:t xml:space="preserve">C-66/08 </w:t>
      </w:r>
      <w:r w:rsidRPr="00A32CA7">
        <w:rPr>
          <w:i/>
        </w:rPr>
        <w:t xml:space="preserve">Proceedings concerning the execution of a European arrest warrant issued against </w:t>
      </w:r>
      <w:proofErr w:type="spellStart"/>
      <w:r w:rsidRPr="00A32CA7">
        <w:rPr>
          <w:i/>
        </w:rPr>
        <w:t>Szymon</w:t>
      </w:r>
      <w:proofErr w:type="spellEnd"/>
      <w:r w:rsidRPr="00A32CA7">
        <w:rPr>
          <w:i/>
        </w:rPr>
        <w:t xml:space="preserve"> </w:t>
      </w:r>
      <w:proofErr w:type="spellStart"/>
      <w:r w:rsidRPr="00A32CA7">
        <w:rPr>
          <w:i/>
        </w:rPr>
        <w:t>Kozłowski</w:t>
      </w:r>
      <w:proofErr w:type="spellEnd"/>
      <w:r w:rsidRPr="00A32CA7">
        <w:t>, ECLI:EU:C:2008:437</w:t>
      </w:r>
      <w:r>
        <w:t xml:space="preserve">; </w:t>
      </w:r>
      <w:r w:rsidRPr="00A32CA7">
        <w:rPr>
          <w:lang w:val="en-GB"/>
        </w:rPr>
        <w:t xml:space="preserve">C-123/08 </w:t>
      </w:r>
      <w:r w:rsidRPr="00A32CA7">
        <w:rPr>
          <w:i/>
          <w:lang w:val="en-GB"/>
        </w:rPr>
        <w:t xml:space="preserve">Dominic </w:t>
      </w:r>
      <w:proofErr w:type="spellStart"/>
      <w:r w:rsidRPr="00A32CA7">
        <w:rPr>
          <w:i/>
          <w:lang w:val="en-GB"/>
        </w:rPr>
        <w:t>Wolzenburg</w:t>
      </w:r>
      <w:proofErr w:type="spellEnd"/>
      <w:r w:rsidRPr="00A32CA7">
        <w:rPr>
          <w:lang w:val="en-GB"/>
        </w:rPr>
        <w:t>, ECLI:EU:C:2009:616</w:t>
      </w:r>
      <w:r>
        <w:rPr>
          <w:lang w:val="en-GB"/>
        </w:rPr>
        <w:t xml:space="preserve">; </w:t>
      </w:r>
      <w:r>
        <w:t xml:space="preserve">C-306/09 </w:t>
      </w:r>
      <w:r w:rsidRPr="000A21D4">
        <w:rPr>
          <w:i/>
        </w:rPr>
        <w:t>I.B</w:t>
      </w:r>
      <w:r w:rsidRPr="000A21D4">
        <w:t>.</w:t>
      </w:r>
      <w:r>
        <w:t xml:space="preserve">, </w:t>
      </w:r>
      <w:r w:rsidRPr="000A21D4">
        <w:t>ECLI:EU:C:2010:626</w:t>
      </w:r>
      <w:r>
        <w:t xml:space="preserve">; C-237/15PPU </w:t>
      </w:r>
      <w:r>
        <w:rPr>
          <w:i/>
          <w:iCs/>
        </w:rPr>
        <w:t>Minister for Justice and Equality v. Francis Lanigan</w:t>
      </w:r>
      <w:r>
        <w:t>, ECLI:EU:C:2015:474.</w:t>
      </w:r>
    </w:p>
  </w:footnote>
  <w:footnote w:id="21">
    <w:p w14:paraId="0BFF730B" w14:textId="6B3B2ECB" w:rsidR="003D4C37" w:rsidRPr="004C651F" w:rsidRDefault="003D4C37" w:rsidP="00A458F6">
      <w:pPr>
        <w:pStyle w:val="FootnoteText"/>
        <w:jc w:val="both"/>
        <w:rPr>
          <w:lang w:val="en-GB"/>
        </w:rPr>
      </w:pPr>
      <w:r w:rsidRPr="004C651F">
        <w:rPr>
          <w:rStyle w:val="FootnoteReference"/>
        </w:rPr>
        <w:footnoteRef/>
      </w:r>
      <w:r w:rsidRPr="004C651F">
        <w:t xml:space="preserve"> </w:t>
      </w:r>
      <w:r>
        <w:t xml:space="preserve">In relation to pre-Lisbon EU legal acts that had been adopted under the Third Pillar of the European Union, the infringement proceedings envisaged in Articles 258-260 TFEU apply only as of 1 December 2014. See further A. </w:t>
      </w:r>
      <w:proofErr w:type="spellStart"/>
      <w:r w:rsidRPr="001B1C23">
        <w:t>Łazowski</w:t>
      </w:r>
      <w:proofErr w:type="spellEnd"/>
      <w:r>
        <w:t xml:space="preserve">, </w:t>
      </w:r>
      <w:r w:rsidRPr="00ED6670">
        <w:rPr>
          <w:i/>
        </w:rPr>
        <w:t>Stepping into Uncharted Waters No More: The Court of Justice and EU Criminal Law</w:t>
      </w:r>
      <w:r>
        <w:t xml:space="preserve">, </w:t>
      </w:r>
      <w:r w:rsidRPr="00ED6670">
        <w:rPr>
          <w:i/>
        </w:rPr>
        <w:t>op. cit</w:t>
      </w:r>
      <w:r>
        <w:t>., pp. 114-118.</w:t>
      </w:r>
    </w:p>
  </w:footnote>
  <w:footnote w:id="22">
    <w:p w14:paraId="61ED1980" w14:textId="32EA6D59" w:rsidR="003D4C37" w:rsidRPr="0072526A" w:rsidRDefault="003D4C37">
      <w:pPr>
        <w:pStyle w:val="Footnote"/>
        <w:jc w:val="both"/>
        <w:rPr>
          <w:sz w:val="20"/>
          <w:szCs w:val="20"/>
        </w:rPr>
      </w:pPr>
      <w:r w:rsidRPr="0072526A">
        <w:rPr>
          <w:rFonts w:ascii="Times New Roman" w:eastAsia="Times New Roman" w:hAnsi="Times New Roman" w:cs="Times New Roman"/>
          <w:sz w:val="20"/>
          <w:szCs w:val="20"/>
          <w:vertAlign w:val="superscript"/>
        </w:rPr>
        <w:footnoteRef/>
      </w:r>
      <w:r w:rsidRPr="0072526A">
        <w:rPr>
          <w:rFonts w:ascii="Times New Roman" w:hAnsi="Times New Roman"/>
          <w:sz w:val="20"/>
          <w:szCs w:val="20"/>
        </w:rPr>
        <w:t xml:space="preserve"> </w:t>
      </w:r>
      <w:r>
        <w:rPr>
          <w:rFonts w:ascii="Times New Roman" w:hAnsi="Times New Roman"/>
          <w:sz w:val="20"/>
          <w:szCs w:val="20"/>
          <w:lang w:val="en-US"/>
        </w:rPr>
        <w:t xml:space="preserve">See, </w:t>
      </w:r>
      <w:r>
        <w:rPr>
          <w:rFonts w:ascii="Times New Roman" w:hAnsi="Times New Roman"/>
          <w:i/>
          <w:iCs/>
          <w:sz w:val="20"/>
          <w:szCs w:val="20"/>
          <w:lang w:val="en-US"/>
        </w:rPr>
        <w:t>inter alia</w:t>
      </w:r>
      <w:r>
        <w:rPr>
          <w:rFonts w:ascii="Times New Roman" w:hAnsi="Times New Roman"/>
          <w:sz w:val="20"/>
          <w:szCs w:val="20"/>
          <w:lang w:val="en-US"/>
        </w:rPr>
        <w:t xml:space="preserve">, B. de Witte, </w:t>
      </w:r>
      <w:r w:rsidRPr="00EE05E4">
        <w:rPr>
          <w:rFonts w:ascii="Times New Roman" w:hAnsi="Times New Roman"/>
          <w:i/>
          <w:sz w:val="20"/>
          <w:szCs w:val="20"/>
          <w:lang w:val="en-US"/>
        </w:rPr>
        <w:t>Direct Effect, Primacy, and the Nature of the Legal Order</w:t>
      </w:r>
      <w:r>
        <w:rPr>
          <w:rFonts w:ascii="Times New Roman" w:hAnsi="Times New Roman"/>
          <w:sz w:val="20"/>
          <w:szCs w:val="20"/>
          <w:lang w:val="en-US"/>
        </w:rPr>
        <w:t xml:space="preserve">, in P. Craig, G. de </w:t>
      </w:r>
      <w:proofErr w:type="spellStart"/>
      <w:r>
        <w:rPr>
          <w:rFonts w:ascii="Times New Roman" w:hAnsi="Times New Roman"/>
          <w:sz w:val="20"/>
          <w:szCs w:val="20"/>
          <w:lang w:val="en-US"/>
        </w:rPr>
        <w:t>B</w:t>
      </w:r>
      <w:r>
        <w:rPr>
          <w:rFonts w:ascii="Times New Roman" w:hAnsi="Times New Roman" w:cs="Times New Roman"/>
          <w:sz w:val="20"/>
          <w:szCs w:val="20"/>
          <w:lang w:val="en-US"/>
        </w:rPr>
        <w:t>ú</w:t>
      </w:r>
      <w:r>
        <w:rPr>
          <w:rFonts w:ascii="Times New Roman" w:hAnsi="Times New Roman"/>
          <w:sz w:val="20"/>
          <w:szCs w:val="20"/>
          <w:lang w:val="en-US"/>
        </w:rPr>
        <w:t>rca</w:t>
      </w:r>
      <w:proofErr w:type="spellEnd"/>
      <w:r>
        <w:rPr>
          <w:rFonts w:ascii="Times New Roman" w:hAnsi="Times New Roman"/>
          <w:sz w:val="20"/>
          <w:szCs w:val="20"/>
          <w:lang w:val="en-US"/>
        </w:rPr>
        <w:t xml:space="preserve">, </w:t>
      </w:r>
      <w:r w:rsidRPr="00EE05E4">
        <w:rPr>
          <w:rFonts w:ascii="Times New Roman" w:hAnsi="Times New Roman"/>
          <w:i/>
          <w:sz w:val="20"/>
          <w:szCs w:val="20"/>
          <w:lang w:val="en-US"/>
        </w:rPr>
        <w:t>The Evolution of EU Law</w:t>
      </w:r>
      <w:r>
        <w:rPr>
          <w:rFonts w:ascii="Times New Roman" w:hAnsi="Times New Roman"/>
          <w:sz w:val="20"/>
          <w:szCs w:val="20"/>
          <w:lang w:val="en-US"/>
        </w:rPr>
        <w:t>, 2</w:t>
      </w:r>
      <w:r w:rsidRPr="00EE05E4">
        <w:rPr>
          <w:rFonts w:ascii="Times New Roman" w:hAnsi="Times New Roman"/>
          <w:sz w:val="20"/>
          <w:szCs w:val="20"/>
          <w:vertAlign w:val="superscript"/>
          <w:lang w:val="en-US"/>
        </w:rPr>
        <w:t>nd</w:t>
      </w:r>
      <w:r>
        <w:rPr>
          <w:rFonts w:ascii="Times New Roman" w:hAnsi="Times New Roman"/>
          <w:sz w:val="20"/>
          <w:szCs w:val="20"/>
          <w:lang w:val="en-US"/>
        </w:rPr>
        <w:t xml:space="preserve"> ed., Oxford 2011, pp. 323-362; D. </w:t>
      </w:r>
      <w:proofErr w:type="spellStart"/>
      <w:r>
        <w:rPr>
          <w:rFonts w:ascii="Times New Roman" w:hAnsi="Times New Roman"/>
          <w:sz w:val="20"/>
          <w:szCs w:val="20"/>
          <w:lang w:val="en-US"/>
        </w:rPr>
        <w:t>Leczykiewicz</w:t>
      </w:r>
      <w:proofErr w:type="spellEnd"/>
      <w:r>
        <w:rPr>
          <w:rFonts w:ascii="Times New Roman" w:hAnsi="Times New Roman"/>
          <w:sz w:val="20"/>
          <w:szCs w:val="20"/>
          <w:lang w:val="en-US"/>
        </w:rPr>
        <w:t xml:space="preserve">, </w:t>
      </w:r>
      <w:r w:rsidRPr="00573E2A">
        <w:rPr>
          <w:rFonts w:ascii="Times New Roman" w:hAnsi="Times New Roman"/>
          <w:i/>
          <w:sz w:val="20"/>
          <w:szCs w:val="20"/>
          <w:lang w:val="en-US"/>
        </w:rPr>
        <w:t>Effectiveness of EU Law before National Courts: Direct Effect, Effective Judicial Protection, and State Liability</w:t>
      </w:r>
      <w:r>
        <w:rPr>
          <w:rFonts w:ascii="Times New Roman" w:hAnsi="Times New Roman"/>
          <w:sz w:val="20"/>
          <w:szCs w:val="20"/>
          <w:lang w:val="en-US"/>
        </w:rPr>
        <w:t>, in</w:t>
      </w:r>
      <w:r w:rsidRPr="001C333D">
        <w:rPr>
          <w:rFonts w:ascii="Times New Roman" w:hAnsi="Times New Roman"/>
          <w:sz w:val="20"/>
          <w:szCs w:val="20"/>
          <w:lang w:val="en-US"/>
        </w:rPr>
        <w:t xml:space="preserve"> A. </w:t>
      </w:r>
      <w:proofErr w:type="spellStart"/>
      <w:r w:rsidRPr="001C333D">
        <w:rPr>
          <w:rFonts w:ascii="Times New Roman" w:hAnsi="Times New Roman"/>
          <w:sz w:val="20"/>
          <w:szCs w:val="20"/>
          <w:lang w:val="en-US"/>
        </w:rPr>
        <w:t>Arnull</w:t>
      </w:r>
      <w:proofErr w:type="spellEnd"/>
      <w:r w:rsidRPr="001C333D">
        <w:rPr>
          <w:rFonts w:ascii="Times New Roman" w:hAnsi="Times New Roman"/>
          <w:sz w:val="20"/>
          <w:szCs w:val="20"/>
          <w:lang w:val="en-US"/>
        </w:rPr>
        <w:t xml:space="preserve">, D. Chalmers, </w:t>
      </w:r>
      <w:r w:rsidRPr="00573E2A">
        <w:rPr>
          <w:rFonts w:ascii="Times New Roman" w:hAnsi="Times New Roman"/>
          <w:i/>
          <w:sz w:val="20"/>
          <w:szCs w:val="20"/>
          <w:lang w:val="en-US"/>
        </w:rPr>
        <w:t>The Oxford Handbook of European Union Law</w:t>
      </w:r>
      <w:r>
        <w:rPr>
          <w:rFonts w:ascii="Times New Roman" w:hAnsi="Times New Roman"/>
          <w:sz w:val="20"/>
          <w:szCs w:val="20"/>
          <w:lang w:val="en-US"/>
        </w:rPr>
        <w:t>, Oxford 2015, pp. 212</w:t>
      </w:r>
      <w:r w:rsidRPr="001C333D">
        <w:rPr>
          <w:rFonts w:ascii="Times New Roman" w:hAnsi="Times New Roman"/>
          <w:sz w:val="20"/>
          <w:szCs w:val="20"/>
          <w:lang w:val="en-US"/>
        </w:rPr>
        <w:t>-</w:t>
      </w:r>
      <w:r>
        <w:rPr>
          <w:rFonts w:ascii="Times New Roman" w:hAnsi="Times New Roman"/>
          <w:sz w:val="20"/>
          <w:szCs w:val="20"/>
          <w:lang w:val="en-US"/>
        </w:rPr>
        <w:t xml:space="preserve">248; A. </w:t>
      </w:r>
      <w:proofErr w:type="spellStart"/>
      <w:r>
        <w:rPr>
          <w:rFonts w:ascii="Times New Roman" w:hAnsi="Times New Roman"/>
          <w:sz w:val="20"/>
          <w:szCs w:val="20"/>
          <w:lang w:val="en-US"/>
        </w:rPr>
        <w:t>Capik</w:t>
      </w:r>
      <w:proofErr w:type="spellEnd"/>
      <w:r>
        <w:rPr>
          <w:rFonts w:ascii="Times New Roman" w:hAnsi="Times New Roman"/>
          <w:sz w:val="20"/>
          <w:szCs w:val="20"/>
          <w:lang w:val="en-US"/>
        </w:rPr>
        <w:t xml:space="preserve">, </w:t>
      </w:r>
      <w:r w:rsidRPr="00573E2A">
        <w:rPr>
          <w:rFonts w:ascii="Times New Roman" w:hAnsi="Times New Roman"/>
          <w:i/>
          <w:sz w:val="20"/>
          <w:szCs w:val="20"/>
          <w:lang w:val="en-US"/>
        </w:rPr>
        <w:t xml:space="preserve">Five Decades since Van </w:t>
      </w:r>
      <w:proofErr w:type="spellStart"/>
      <w:r w:rsidRPr="00573E2A">
        <w:rPr>
          <w:rFonts w:ascii="Times New Roman" w:hAnsi="Times New Roman"/>
          <w:i/>
          <w:sz w:val="20"/>
          <w:szCs w:val="20"/>
          <w:lang w:val="en-US"/>
        </w:rPr>
        <w:t>Gend</w:t>
      </w:r>
      <w:proofErr w:type="spellEnd"/>
      <w:r w:rsidRPr="00573E2A">
        <w:rPr>
          <w:rFonts w:ascii="Times New Roman" w:hAnsi="Times New Roman"/>
          <w:i/>
          <w:sz w:val="20"/>
          <w:szCs w:val="20"/>
          <w:lang w:val="en-US"/>
        </w:rPr>
        <w:t xml:space="preserve"> </w:t>
      </w:r>
      <w:proofErr w:type="spellStart"/>
      <w:r w:rsidRPr="00573E2A">
        <w:rPr>
          <w:rFonts w:ascii="Times New Roman" w:hAnsi="Times New Roman"/>
          <w:i/>
          <w:sz w:val="20"/>
          <w:szCs w:val="20"/>
          <w:lang w:val="en-US"/>
        </w:rPr>
        <w:t>en</w:t>
      </w:r>
      <w:proofErr w:type="spellEnd"/>
      <w:r w:rsidRPr="00573E2A">
        <w:rPr>
          <w:rFonts w:ascii="Times New Roman" w:hAnsi="Times New Roman"/>
          <w:i/>
          <w:sz w:val="20"/>
          <w:szCs w:val="20"/>
          <w:lang w:val="en-US"/>
        </w:rPr>
        <w:t xml:space="preserve"> Loos and Costa came to town: primacy, direct and indirect effect revisited</w:t>
      </w:r>
      <w:r>
        <w:rPr>
          <w:rFonts w:ascii="Times New Roman" w:hAnsi="Times New Roman"/>
          <w:sz w:val="20"/>
          <w:szCs w:val="20"/>
          <w:lang w:val="en-US"/>
        </w:rPr>
        <w:t>, in</w:t>
      </w:r>
      <w:r w:rsidRPr="008D0E5F">
        <w:rPr>
          <w:rFonts w:ascii="Times New Roman" w:hAnsi="Times New Roman"/>
          <w:sz w:val="20"/>
          <w:szCs w:val="20"/>
          <w:lang w:val="en-US"/>
        </w:rPr>
        <w:t xml:space="preserve"> A. </w:t>
      </w:r>
      <w:proofErr w:type="spellStart"/>
      <w:r w:rsidRPr="008D0E5F">
        <w:rPr>
          <w:rFonts w:ascii="Times New Roman" w:hAnsi="Times New Roman"/>
          <w:sz w:val="20"/>
          <w:szCs w:val="20"/>
          <w:lang w:val="en-US"/>
        </w:rPr>
        <w:t>Łazowski</w:t>
      </w:r>
      <w:proofErr w:type="spellEnd"/>
      <w:r w:rsidRPr="008D0E5F">
        <w:rPr>
          <w:rFonts w:ascii="Times New Roman" w:hAnsi="Times New Roman"/>
          <w:sz w:val="20"/>
          <w:szCs w:val="20"/>
          <w:lang w:val="en-US"/>
        </w:rPr>
        <w:t xml:space="preserve">, S. </w:t>
      </w:r>
      <w:proofErr w:type="spellStart"/>
      <w:r w:rsidRPr="008D0E5F">
        <w:rPr>
          <w:rFonts w:ascii="Times New Roman" w:hAnsi="Times New Roman"/>
          <w:sz w:val="20"/>
          <w:szCs w:val="20"/>
          <w:lang w:val="en-US"/>
        </w:rPr>
        <w:t>Blockmans</w:t>
      </w:r>
      <w:proofErr w:type="spellEnd"/>
      <w:r w:rsidRPr="008D0E5F">
        <w:rPr>
          <w:rFonts w:ascii="Times New Roman" w:hAnsi="Times New Roman"/>
          <w:sz w:val="20"/>
          <w:szCs w:val="20"/>
          <w:lang w:val="en-US"/>
        </w:rPr>
        <w:t xml:space="preserve"> (</w:t>
      </w:r>
      <w:proofErr w:type="spellStart"/>
      <w:r w:rsidRPr="008D0E5F">
        <w:rPr>
          <w:rFonts w:ascii="Times New Roman" w:hAnsi="Times New Roman"/>
          <w:sz w:val="20"/>
          <w:szCs w:val="20"/>
          <w:lang w:val="en-US"/>
        </w:rPr>
        <w:t>eds</w:t>
      </w:r>
      <w:proofErr w:type="spellEnd"/>
      <w:r w:rsidRPr="008D0E5F">
        <w:rPr>
          <w:rFonts w:ascii="Times New Roman" w:hAnsi="Times New Roman"/>
          <w:sz w:val="20"/>
          <w:szCs w:val="20"/>
          <w:lang w:val="en-US"/>
        </w:rPr>
        <w:t xml:space="preserve">), </w:t>
      </w:r>
      <w:r w:rsidRPr="008D0E5F">
        <w:rPr>
          <w:rFonts w:ascii="Times New Roman" w:hAnsi="Times New Roman"/>
          <w:i/>
          <w:sz w:val="20"/>
          <w:szCs w:val="20"/>
          <w:lang w:val="en-US"/>
        </w:rPr>
        <w:t>Research Handbook on EU Institutional Law</w:t>
      </w:r>
      <w:r w:rsidRPr="008D0E5F">
        <w:rPr>
          <w:rFonts w:ascii="Times New Roman" w:hAnsi="Times New Roman"/>
          <w:sz w:val="20"/>
          <w:szCs w:val="20"/>
          <w:lang w:val="en-US"/>
        </w:rPr>
        <w:t xml:space="preserve">, Cheltenham 2016, pp. </w:t>
      </w:r>
      <w:r>
        <w:rPr>
          <w:rFonts w:ascii="Times New Roman" w:hAnsi="Times New Roman"/>
          <w:sz w:val="20"/>
          <w:szCs w:val="20"/>
          <w:lang w:val="en-US"/>
        </w:rPr>
        <w:t>379</w:t>
      </w:r>
      <w:r w:rsidRPr="008D0E5F">
        <w:rPr>
          <w:rFonts w:ascii="Times New Roman" w:hAnsi="Times New Roman"/>
          <w:sz w:val="20"/>
          <w:szCs w:val="20"/>
          <w:lang w:val="en-US"/>
        </w:rPr>
        <w:t>-</w:t>
      </w:r>
      <w:r>
        <w:rPr>
          <w:rFonts w:ascii="Times New Roman" w:hAnsi="Times New Roman"/>
          <w:sz w:val="20"/>
          <w:szCs w:val="20"/>
          <w:lang w:val="en-US"/>
        </w:rPr>
        <w:t>420.</w:t>
      </w:r>
    </w:p>
  </w:footnote>
  <w:footnote w:id="23">
    <w:p w14:paraId="5FF83FA8" w14:textId="7E5B5C0C" w:rsidR="003D4C37" w:rsidRDefault="003D4C37">
      <w:pPr>
        <w:pStyle w:val="Footnote"/>
        <w:jc w:val="both"/>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en-US"/>
        </w:rPr>
        <w:t xml:space="preserve">It is notable that the European Union </w:t>
      </w:r>
      <w:r w:rsidR="00D27DB3">
        <w:rPr>
          <w:rFonts w:ascii="Times New Roman" w:hAnsi="Times New Roman"/>
          <w:sz w:val="20"/>
          <w:szCs w:val="20"/>
          <w:lang w:val="en-US"/>
        </w:rPr>
        <w:t>is expected to</w:t>
      </w:r>
      <w:r>
        <w:rPr>
          <w:rFonts w:ascii="Times New Roman" w:hAnsi="Times New Roman"/>
          <w:sz w:val="20"/>
          <w:szCs w:val="20"/>
          <w:lang w:val="en-US"/>
        </w:rPr>
        <w:t xml:space="preserve"> </w:t>
      </w:r>
      <w:proofErr w:type="spellStart"/>
      <w:r>
        <w:rPr>
          <w:rFonts w:ascii="Times New Roman" w:hAnsi="Times New Roman"/>
          <w:sz w:val="20"/>
          <w:szCs w:val="20"/>
          <w:lang w:val="en-US"/>
        </w:rPr>
        <w:t>experienc</w:t>
      </w:r>
      <w:r w:rsidR="00D27DB3">
        <w:rPr>
          <w:rFonts w:ascii="Times New Roman" w:hAnsi="Times New Roman"/>
          <w:sz w:val="20"/>
          <w:szCs w:val="20"/>
          <w:lang w:val="en-US"/>
        </w:rPr>
        <w:t>e</w:t>
      </w:r>
      <w:r>
        <w:rPr>
          <w:rFonts w:ascii="Times New Roman" w:hAnsi="Times New Roman"/>
          <w:sz w:val="20"/>
          <w:szCs w:val="20"/>
          <w:lang w:val="en-US"/>
        </w:rPr>
        <w:t xml:space="preserve"> </w:t>
      </w:r>
      <w:proofErr w:type="spellEnd"/>
      <w:r>
        <w:rPr>
          <w:rFonts w:ascii="Times New Roman" w:hAnsi="Times New Roman"/>
          <w:sz w:val="20"/>
          <w:szCs w:val="20"/>
          <w:lang w:val="en-US"/>
        </w:rPr>
        <w:t xml:space="preserve">the first reduction of its membership, when the United Kingdom </w:t>
      </w:r>
      <w:r w:rsidR="00D27DB3">
        <w:rPr>
          <w:rFonts w:ascii="Times New Roman" w:hAnsi="Times New Roman"/>
          <w:sz w:val="20"/>
          <w:szCs w:val="20"/>
          <w:lang w:val="en-US"/>
        </w:rPr>
        <w:t>leaves on</w:t>
      </w:r>
      <w:r>
        <w:rPr>
          <w:rFonts w:ascii="Times New Roman" w:hAnsi="Times New Roman"/>
          <w:sz w:val="20"/>
          <w:szCs w:val="20"/>
          <w:lang w:val="en-US"/>
        </w:rPr>
        <w:t xml:space="preserve"> 29 March 2019. </w:t>
      </w:r>
    </w:p>
  </w:footnote>
  <w:footnote w:id="24">
    <w:p w14:paraId="51AEE90C" w14:textId="1A7C434E" w:rsidR="003D4C37" w:rsidRPr="007A2B7B" w:rsidRDefault="003D4C37" w:rsidP="00884D5B">
      <w:pPr>
        <w:pStyle w:val="Footnote"/>
        <w:jc w:val="both"/>
        <w:rPr>
          <w:sz w:val="20"/>
          <w:szCs w:val="20"/>
        </w:rPr>
      </w:pPr>
      <w:r w:rsidRPr="007A2B7B">
        <w:rPr>
          <w:rFonts w:ascii="Times New Roman" w:eastAsia="Times New Roman" w:hAnsi="Times New Roman" w:cs="Times New Roman"/>
          <w:sz w:val="20"/>
          <w:szCs w:val="20"/>
          <w:vertAlign w:val="superscript"/>
        </w:rPr>
        <w:footnoteRef/>
      </w:r>
      <w:r w:rsidRPr="007A2B7B">
        <w:rPr>
          <w:rFonts w:ascii="Times New Roman" w:hAnsi="Times New Roman"/>
          <w:sz w:val="20"/>
          <w:szCs w:val="20"/>
        </w:rPr>
        <w:t xml:space="preserve"> See, </w:t>
      </w:r>
      <w:r w:rsidRPr="007A2B7B">
        <w:rPr>
          <w:rFonts w:ascii="Times New Roman" w:hAnsi="Times New Roman"/>
          <w:i/>
          <w:sz w:val="20"/>
          <w:szCs w:val="20"/>
        </w:rPr>
        <w:t>inter alia</w:t>
      </w:r>
      <w:r w:rsidRPr="007A2B7B">
        <w:rPr>
          <w:rFonts w:ascii="Times New Roman" w:hAnsi="Times New Roman"/>
          <w:sz w:val="20"/>
          <w:szCs w:val="20"/>
        </w:rPr>
        <w:t xml:space="preserve">, A. </w:t>
      </w:r>
      <w:proofErr w:type="spellStart"/>
      <w:r w:rsidRPr="007A2B7B">
        <w:rPr>
          <w:rFonts w:ascii="Times New Roman" w:eastAsia="Arial Unicode MS" w:hAnsi="Times New Roman" w:cs="Times New Roman"/>
          <w:color w:val="auto"/>
          <w:sz w:val="20"/>
          <w:szCs w:val="20"/>
          <w:lang w:val="en-US"/>
        </w:rPr>
        <w:t>Łazowski</w:t>
      </w:r>
      <w:proofErr w:type="spellEnd"/>
      <w:r w:rsidRPr="007A2B7B">
        <w:rPr>
          <w:rFonts w:ascii="Times New Roman" w:eastAsia="Arial Unicode MS" w:hAnsi="Times New Roman" w:cs="Times New Roman"/>
          <w:color w:val="auto"/>
          <w:sz w:val="20"/>
          <w:szCs w:val="20"/>
          <w:lang w:val="en-US"/>
        </w:rPr>
        <w:t xml:space="preserve"> (ed.), </w:t>
      </w:r>
      <w:r w:rsidRPr="00884D5B">
        <w:rPr>
          <w:rFonts w:ascii="Times New Roman" w:eastAsia="Arial Unicode MS" w:hAnsi="Times New Roman" w:cs="Times New Roman"/>
          <w:i/>
          <w:color w:val="auto"/>
          <w:sz w:val="20"/>
          <w:szCs w:val="20"/>
          <w:lang w:val="en-US"/>
        </w:rPr>
        <w:t>The Application of EU Law in the New Member States. Brave New World</w:t>
      </w:r>
      <w:r>
        <w:rPr>
          <w:rFonts w:ascii="Times New Roman" w:eastAsia="Arial Unicode MS" w:hAnsi="Times New Roman" w:cs="Times New Roman"/>
          <w:color w:val="auto"/>
          <w:sz w:val="20"/>
          <w:szCs w:val="20"/>
          <w:lang w:val="en-US"/>
        </w:rPr>
        <w:t>, The Hague, Asser Press 2010;</w:t>
      </w:r>
      <w:r w:rsidRPr="00884D5B">
        <w:rPr>
          <w:rFonts w:ascii="Times New Roman" w:eastAsia="Arial Unicode MS" w:hAnsi="Times New Roman" w:cs="Times New Roman"/>
          <w:color w:val="auto"/>
          <w:sz w:val="20"/>
          <w:szCs w:val="20"/>
          <w:lang w:val="en-US"/>
        </w:rPr>
        <w:t xml:space="preserve"> </w:t>
      </w:r>
      <w:r>
        <w:rPr>
          <w:rFonts w:ascii="Times New Roman" w:eastAsia="Arial Unicode MS" w:hAnsi="Times New Roman" w:cs="Times New Roman"/>
          <w:color w:val="auto"/>
          <w:sz w:val="20"/>
          <w:szCs w:val="20"/>
          <w:lang w:val="en-US"/>
        </w:rPr>
        <w:t xml:space="preserve">M. </w:t>
      </w:r>
      <w:proofErr w:type="spellStart"/>
      <w:r>
        <w:rPr>
          <w:rFonts w:ascii="Times New Roman" w:eastAsia="Arial Unicode MS" w:hAnsi="Times New Roman" w:cs="Times New Roman"/>
          <w:color w:val="auto"/>
          <w:sz w:val="20"/>
          <w:szCs w:val="20"/>
          <w:lang w:val="en-US"/>
        </w:rPr>
        <w:t>Bobek</w:t>
      </w:r>
      <w:proofErr w:type="spellEnd"/>
      <w:r>
        <w:rPr>
          <w:rFonts w:ascii="Times New Roman" w:eastAsia="Arial Unicode MS" w:hAnsi="Times New Roman" w:cs="Times New Roman"/>
          <w:color w:val="auto"/>
          <w:sz w:val="20"/>
          <w:szCs w:val="20"/>
          <w:lang w:val="en-US"/>
        </w:rPr>
        <w:t xml:space="preserve"> (ed.), </w:t>
      </w:r>
      <w:r w:rsidRPr="00884D5B">
        <w:rPr>
          <w:rFonts w:ascii="Times New Roman" w:eastAsia="Arial Unicode MS" w:hAnsi="Times New Roman" w:cs="Times New Roman"/>
          <w:i/>
          <w:color w:val="auto"/>
          <w:sz w:val="20"/>
          <w:szCs w:val="20"/>
          <w:lang w:val="en-US"/>
        </w:rPr>
        <w:t>Central European Judges Under the European Influence. The Transformative Power of the EU Revisited</w:t>
      </w:r>
      <w:r>
        <w:rPr>
          <w:rFonts w:ascii="Times New Roman" w:eastAsia="Arial Unicode MS" w:hAnsi="Times New Roman" w:cs="Times New Roman"/>
          <w:color w:val="auto"/>
          <w:sz w:val="20"/>
          <w:szCs w:val="20"/>
          <w:lang w:val="en-US"/>
        </w:rPr>
        <w:t>, Oxford-Portland, Oregon, Hart Publishing 2015.</w:t>
      </w:r>
    </w:p>
  </w:footnote>
  <w:footnote w:id="25">
    <w:p w14:paraId="3E2F431B" w14:textId="4AF66D24" w:rsidR="003D4C37" w:rsidRPr="00347181" w:rsidRDefault="003D4C37">
      <w:pPr>
        <w:pStyle w:val="Footnote"/>
        <w:jc w:val="both"/>
        <w:rPr>
          <w:rFonts w:ascii="Times New Roman" w:hAnsi="Times New Roman" w:cs="Times New Roman"/>
          <w:sz w:val="20"/>
          <w:szCs w:val="20"/>
        </w:rPr>
      </w:pPr>
      <w:r w:rsidRPr="00347181">
        <w:rPr>
          <w:rFonts w:ascii="Times New Roman" w:eastAsia="Times New Roman" w:hAnsi="Times New Roman" w:cs="Times New Roman"/>
          <w:sz w:val="20"/>
          <w:szCs w:val="20"/>
          <w:vertAlign w:val="superscript"/>
        </w:rPr>
        <w:footnoteRef/>
      </w:r>
      <w:r w:rsidRPr="00347181">
        <w:rPr>
          <w:rFonts w:ascii="Times New Roman" w:hAnsi="Times New Roman" w:cs="Times New Roman"/>
          <w:sz w:val="20"/>
          <w:szCs w:val="20"/>
        </w:rPr>
        <w:t xml:space="preserve"> C-399/11 </w:t>
      </w:r>
      <w:r w:rsidRPr="00347181">
        <w:rPr>
          <w:rFonts w:ascii="Times New Roman" w:hAnsi="Times New Roman" w:cs="Times New Roman"/>
          <w:i/>
          <w:sz w:val="20"/>
          <w:szCs w:val="20"/>
        </w:rPr>
        <w:t xml:space="preserve">Stefano </w:t>
      </w:r>
      <w:proofErr w:type="spellStart"/>
      <w:r w:rsidRPr="00347181">
        <w:rPr>
          <w:rFonts w:ascii="Times New Roman" w:hAnsi="Times New Roman" w:cs="Times New Roman"/>
          <w:i/>
          <w:sz w:val="20"/>
          <w:szCs w:val="20"/>
        </w:rPr>
        <w:t>Melloni</w:t>
      </w:r>
      <w:proofErr w:type="spellEnd"/>
      <w:r w:rsidRPr="00347181">
        <w:rPr>
          <w:rFonts w:ascii="Times New Roman" w:hAnsi="Times New Roman" w:cs="Times New Roman"/>
          <w:i/>
          <w:sz w:val="20"/>
          <w:szCs w:val="20"/>
        </w:rPr>
        <w:t xml:space="preserve"> v </w:t>
      </w:r>
      <w:proofErr w:type="spellStart"/>
      <w:r w:rsidRPr="00347181">
        <w:rPr>
          <w:rFonts w:ascii="Times New Roman" w:hAnsi="Times New Roman" w:cs="Times New Roman"/>
          <w:i/>
          <w:sz w:val="20"/>
          <w:szCs w:val="20"/>
        </w:rPr>
        <w:t>Ministerio</w:t>
      </w:r>
      <w:proofErr w:type="spellEnd"/>
      <w:r w:rsidRPr="00347181">
        <w:rPr>
          <w:rFonts w:ascii="Times New Roman" w:hAnsi="Times New Roman" w:cs="Times New Roman"/>
          <w:i/>
          <w:sz w:val="20"/>
          <w:szCs w:val="20"/>
        </w:rPr>
        <w:t xml:space="preserve"> Fiscal</w:t>
      </w:r>
      <w:r w:rsidRPr="00347181">
        <w:rPr>
          <w:rFonts w:ascii="Times New Roman" w:hAnsi="Times New Roman" w:cs="Times New Roman"/>
          <w:sz w:val="20"/>
          <w:szCs w:val="20"/>
        </w:rPr>
        <w:t xml:space="preserve">, ECLI:EU:C:2013:107. </w:t>
      </w:r>
    </w:p>
  </w:footnote>
  <w:footnote w:id="26">
    <w:p w14:paraId="362E432B" w14:textId="1183FDC0" w:rsidR="003D4C37" w:rsidRDefault="003D4C37">
      <w:pPr>
        <w:pStyle w:val="Footnote"/>
        <w:jc w:val="both"/>
      </w:pPr>
      <w:r>
        <w:rPr>
          <w:rFonts w:ascii="Times New Roman" w:eastAsia="Times New Roman" w:hAnsi="Times New Roman" w:cs="Times New Roman"/>
          <w:vertAlign w:val="superscript"/>
        </w:rPr>
        <w:footnoteRef/>
      </w:r>
      <w:r>
        <w:rPr>
          <w:rFonts w:ascii="Times New Roman" w:hAnsi="Times New Roman"/>
        </w:rPr>
        <w:t xml:space="preserve"> </w:t>
      </w:r>
      <w:r w:rsidRPr="006E36BF">
        <w:rPr>
          <w:rFonts w:ascii="Times New Roman" w:hAnsi="Times New Roman"/>
          <w:sz w:val="20"/>
          <w:szCs w:val="20"/>
        </w:rPr>
        <w:t>Opinion 2/13 of the Court of 18 December 2014: Accession by the Union to the European Convention for the Protection of Human Rights and Fundamental Freedoms, ECLI:EU:C:2014:2454</w:t>
      </w:r>
      <w:r>
        <w:rPr>
          <w:rFonts w:ascii="Times New Roman" w:hAnsi="Times New Roman"/>
          <w:sz w:val="20"/>
          <w:szCs w:val="20"/>
        </w:rPr>
        <w:t xml:space="preserve">. </w:t>
      </w:r>
    </w:p>
  </w:footnote>
  <w:footnote w:id="27">
    <w:p w14:paraId="27D392BA" w14:textId="58D7B836" w:rsidR="003D4C37" w:rsidRDefault="003D4C37">
      <w:pPr>
        <w:pStyle w:val="Footnote"/>
        <w:jc w:val="both"/>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en-US"/>
        </w:rPr>
        <w:t>It obviously attracted a flurry of academic commentary. See,</w:t>
      </w:r>
      <w:r>
        <w:rPr>
          <w:rFonts w:ascii="Times New Roman" w:hAnsi="Times New Roman"/>
          <w:i/>
          <w:iCs/>
          <w:sz w:val="20"/>
          <w:szCs w:val="20"/>
          <w:lang w:val="en-US"/>
        </w:rPr>
        <w:t xml:space="preserve"> inter alia</w:t>
      </w:r>
      <w:r>
        <w:rPr>
          <w:rFonts w:ascii="Times New Roman" w:hAnsi="Times New Roman"/>
          <w:sz w:val="20"/>
          <w:szCs w:val="20"/>
          <w:lang w:val="en-US"/>
        </w:rPr>
        <w:t xml:space="preserve">, </w:t>
      </w:r>
      <w:r w:rsidRPr="00347181">
        <w:rPr>
          <w:rFonts w:ascii="Times New Roman" w:hAnsi="Times New Roman" w:cs="Times New Roman"/>
          <w:sz w:val="20"/>
          <w:szCs w:val="20"/>
        </w:rPr>
        <w:t xml:space="preserve">A. Tinsley, </w:t>
      </w:r>
      <w:r w:rsidRPr="00347181">
        <w:rPr>
          <w:rFonts w:ascii="Times New Roman" w:hAnsi="Times New Roman" w:cs="Times New Roman"/>
          <w:i/>
          <w:sz w:val="20"/>
          <w:szCs w:val="20"/>
        </w:rPr>
        <w:t xml:space="preserve">Note on the Reference in Case C-399/11 </w:t>
      </w:r>
      <w:proofErr w:type="spellStart"/>
      <w:r w:rsidRPr="00347181">
        <w:rPr>
          <w:rFonts w:ascii="Times New Roman" w:hAnsi="Times New Roman" w:cs="Times New Roman"/>
          <w:i/>
          <w:sz w:val="20"/>
          <w:szCs w:val="20"/>
        </w:rPr>
        <w:t>Melloni</w:t>
      </w:r>
      <w:proofErr w:type="spellEnd"/>
      <w:r w:rsidRPr="00347181">
        <w:rPr>
          <w:rFonts w:ascii="Times New Roman" w:hAnsi="Times New Roman" w:cs="Times New Roman"/>
          <w:sz w:val="20"/>
          <w:szCs w:val="20"/>
        </w:rPr>
        <w:t xml:space="preserve">, 3 NJECL (2012) p.19-30; N. De Boer, </w:t>
      </w:r>
      <w:r w:rsidRPr="00347181">
        <w:rPr>
          <w:rFonts w:ascii="Times New Roman" w:hAnsi="Times New Roman" w:cs="Times New Roman"/>
          <w:i/>
          <w:sz w:val="20"/>
          <w:szCs w:val="20"/>
        </w:rPr>
        <w:t xml:space="preserve">Addressing rights divergence under the Charter: </w:t>
      </w:r>
      <w:proofErr w:type="spellStart"/>
      <w:r w:rsidRPr="00347181">
        <w:rPr>
          <w:rFonts w:ascii="Times New Roman" w:hAnsi="Times New Roman" w:cs="Times New Roman"/>
          <w:i/>
          <w:sz w:val="20"/>
          <w:szCs w:val="20"/>
        </w:rPr>
        <w:t>Melloni</w:t>
      </w:r>
      <w:proofErr w:type="spellEnd"/>
      <w:r w:rsidRPr="00347181">
        <w:rPr>
          <w:rFonts w:ascii="Times New Roman" w:hAnsi="Times New Roman" w:cs="Times New Roman"/>
          <w:sz w:val="20"/>
          <w:szCs w:val="20"/>
        </w:rPr>
        <w:t xml:space="preserve">, 50 </w:t>
      </w:r>
      <w:proofErr w:type="spellStart"/>
      <w:r w:rsidRPr="00347181">
        <w:rPr>
          <w:rFonts w:ascii="Times New Roman" w:hAnsi="Times New Roman" w:cs="Times New Roman"/>
          <w:sz w:val="20"/>
          <w:szCs w:val="20"/>
        </w:rPr>
        <w:t>CMLRev</w:t>
      </w:r>
      <w:proofErr w:type="spellEnd"/>
      <w:r w:rsidRPr="00347181">
        <w:rPr>
          <w:rFonts w:ascii="Times New Roman" w:hAnsi="Times New Roman" w:cs="Times New Roman"/>
          <w:sz w:val="20"/>
          <w:szCs w:val="20"/>
        </w:rPr>
        <w:t>. (2013) p</w:t>
      </w:r>
      <w:r>
        <w:rPr>
          <w:rFonts w:ascii="Times New Roman" w:hAnsi="Times New Roman" w:cs="Times New Roman"/>
          <w:sz w:val="20"/>
          <w:szCs w:val="20"/>
        </w:rPr>
        <w:t>p</w:t>
      </w:r>
      <w:r w:rsidRPr="00347181">
        <w:rPr>
          <w:rFonts w:ascii="Times New Roman" w:hAnsi="Times New Roman" w:cs="Times New Roman"/>
          <w:sz w:val="20"/>
          <w:szCs w:val="20"/>
        </w:rPr>
        <w:t xml:space="preserve">.1083-1103; M. De </w:t>
      </w:r>
      <w:proofErr w:type="spellStart"/>
      <w:r w:rsidRPr="00347181">
        <w:rPr>
          <w:rFonts w:ascii="Times New Roman" w:hAnsi="Times New Roman" w:cs="Times New Roman"/>
          <w:sz w:val="20"/>
          <w:szCs w:val="20"/>
        </w:rPr>
        <w:t>Visser</w:t>
      </w:r>
      <w:proofErr w:type="spellEnd"/>
      <w:r w:rsidRPr="00347181">
        <w:rPr>
          <w:rFonts w:ascii="Times New Roman" w:hAnsi="Times New Roman" w:cs="Times New Roman"/>
          <w:sz w:val="20"/>
          <w:szCs w:val="20"/>
        </w:rPr>
        <w:t xml:space="preserve">, </w:t>
      </w:r>
      <w:r w:rsidRPr="00DD66D9">
        <w:rPr>
          <w:rFonts w:ascii="Times New Roman" w:hAnsi="Times New Roman" w:cs="Times New Roman"/>
          <w:i/>
          <w:sz w:val="20"/>
          <w:szCs w:val="20"/>
        </w:rPr>
        <w:t>Dealing with Divergences in Fundamental Rights Standards</w:t>
      </w:r>
      <w:r w:rsidRPr="00347181">
        <w:rPr>
          <w:rFonts w:ascii="Times New Roman" w:hAnsi="Times New Roman" w:cs="Times New Roman"/>
          <w:sz w:val="20"/>
          <w:szCs w:val="20"/>
        </w:rPr>
        <w:t xml:space="preserve">, MJECL (2013) </w:t>
      </w:r>
      <w:r>
        <w:rPr>
          <w:rFonts w:ascii="Times New Roman" w:hAnsi="Times New Roman" w:cs="Times New Roman"/>
          <w:sz w:val="20"/>
          <w:szCs w:val="20"/>
        </w:rPr>
        <w:t>p</w:t>
      </w:r>
      <w:r w:rsidRPr="00347181">
        <w:rPr>
          <w:rFonts w:ascii="Times New Roman" w:hAnsi="Times New Roman" w:cs="Times New Roman"/>
          <w:sz w:val="20"/>
          <w:szCs w:val="20"/>
        </w:rPr>
        <w:t>p.</w:t>
      </w:r>
      <w:r>
        <w:rPr>
          <w:rFonts w:ascii="Times New Roman" w:hAnsi="Times New Roman" w:cs="Times New Roman"/>
          <w:sz w:val="20"/>
          <w:szCs w:val="20"/>
        </w:rPr>
        <w:t xml:space="preserve"> </w:t>
      </w:r>
      <w:r w:rsidRPr="00347181">
        <w:rPr>
          <w:rFonts w:ascii="Times New Roman" w:hAnsi="Times New Roman" w:cs="Times New Roman"/>
          <w:sz w:val="20"/>
          <w:szCs w:val="20"/>
        </w:rPr>
        <w:t xml:space="preserve">576-588; A. </w:t>
      </w:r>
      <w:proofErr w:type="spellStart"/>
      <w:r w:rsidRPr="00347181">
        <w:rPr>
          <w:rFonts w:ascii="Times New Roman" w:hAnsi="Times New Roman" w:cs="Times New Roman"/>
          <w:sz w:val="20"/>
          <w:szCs w:val="20"/>
        </w:rPr>
        <w:t>Pliakos</w:t>
      </w:r>
      <w:proofErr w:type="spellEnd"/>
      <w:r w:rsidRPr="00347181">
        <w:rPr>
          <w:rFonts w:ascii="Times New Roman" w:hAnsi="Times New Roman" w:cs="Times New Roman"/>
          <w:sz w:val="20"/>
          <w:szCs w:val="20"/>
        </w:rPr>
        <w:t xml:space="preserve">, G. </w:t>
      </w:r>
      <w:proofErr w:type="spellStart"/>
      <w:r w:rsidRPr="00347181">
        <w:rPr>
          <w:rFonts w:ascii="Times New Roman" w:hAnsi="Times New Roman" w:cs="Times New Roman"/>
          <w:sz w:val="20"/>
          <w:szCs w:val="20"/>
        </w:rPr>
        <w:t>Anagnostaras</w:t>
      </w:r>
      <w:proofErr w:type="spellEnd"/>
      <w:r w:rsidRPr="00347181">
        <w:rPr>
          <w:rFonts w:ascii="Times New Roman" w:hAnsi="Times New Roman" w:cs="Times New Roman"/>
          <w:sz w:val="20"/>
          <w:szCs w:val="20"/>
        </w:rPr>
        <w:t xml:space="preserve">, </w:t>
      </w:r>
      <w:r w:rsidRPr="00347181">
        <w:rPr>
          <w:rFonts w:ascii="Times New Roman" w:hAnsi="Times New Roman" w:cs="Times New Roman"/>
          <w:i/>
          <w:sz w:val="20"/>
          <w:szCs w:val="20"/>
        </w:rPr>
        <w:t xml:space="preserve">Fundamental Rights and the New Battle over Legal and Judicial Supremacy: Lessons from </w:t>
      </w:r>
      <w:proofErr w:type="spellStart"/>
      <w:r w:rsidRPr="00347181">
        <w:rPr>
          <w:rFonts w:ascii="Times New Roman" w:hAnsi="Times New Roman" w:cs="Times New Roman"/>
          <w:i/>
          <w:sz w:val="20"/>
          <w:szCs w:val="20"/>
        </w:rPr>
        <w:t>Melloni</w:t>
      </w:r>
      <w:proofErr w:type="spellEnd"/>
      <w:r w:rsidRPr="00347181">
        <w:rPr>
          <w:rFonts w:ascii="Times New Roman" w:hAnsi="Times New Roman" w:cs="Times New Roman"/>
          <w:sz w:val="20"/>
          <w:szCs w:val="20"/>
        </w:rPr>
        <w:t xml:space="preserve">, 34 YEL (2015) </w:t>
      </w:r>
      <w:r>
        <w:rPr>
          <w:rFonts w:ascii="Times New Roman" w:hAnsi="Times New Roman" w:cs="Times New Roman"/>
          <w:sz w:val="20"/>
          <w:szCs w:val="20"/>
        </w:rPr>
        <w:t>p</w:t>
      </w:r>
      <w:r w:rsidRPr="00347181">
        <w:rPr>
          <w:rFonts w:ascii="Times New Roman" w:hAnsi="Times New Roman" w:cs="Times New Roman"/>
          <w:sz w:val="20"/>
          <w:szCs w:val="20"/>
        </w:rPr>
        <w:t>p.</w:t>
      </w:r>
      <w:r>
        <w:rPr>
          <w:rFonts w:ascii="Times New Roman" w:hAnsi="Times New Roman" w:cs="Times New Roman"/>
          <w:sz w:val="20"/>
          <w:szCs w:val="20"/>
        </w:rPr>
        <w:t xml:space="preserve"> </w:t>
      </w:r>
      <w:r w:rsidRPr="00347181">
        <w:rPr>
          <w:rFonts w:ascii="Times New Roman" w:hAnsi="Times New Roman" w:cs="Times New Roman"/>
          <w:sz w:val="20"/>
          <w:szCs w:val="20"/>
        </w:rPr>
        <w:t xml:space="preserve">97-126; G. </w:t>
      </w:r>
      <w:proofErr w:type="spellStart"/>
      <w:r w:rsidRPr="00347181">
        <w:rPr>
          <w:rFonts w:ascii="Times New Roman" w:hAnsi="Times New Roman" w:cs="Times New Roman"/>
          <w:sz w:val="20"/>
          <w:szCs w:val="20"/>
        </w:rPr>
        <w:t>Cavallone</w:t>
      </w:r>
      <w:proofErr w:type="spellEnd"/>
      <w:r w:rsidRPr="00347181">
        <w:rPr>
          <w:rFonts w:ascii="Times New Roman" w:hAnsi="Times New Roman" w:cs="Times New Roman"/>
          <w:sz w:val="20"/>
          <w:szCs w:val="20"/>
        </w:rPr>
        <w:t xml:space="preserve">, </w:t>
      </w:r>
      <w:r w:rsidRPr="00347181">
        <w:rPr>
          <w:rFonts w:ascii="Times New Roman" w:hAnsi="Times New Roman" w:cs="Times New Roman"/>
          <w:i/>
          <w:sz w:val="20"/>
          <w:szCs w:val="20"/>
        </w:rPr>
        <w:t xml:space="preserve">European arrest warrant and fundamental rights in decisions rendered in absentia: the extent of Union law in the case C-399/11 </w:t>
      </w:r>
      <w:proofErr w:type="spellStart"/>
      <w:r w:rsidRPr="00347181">
        <w:rPr>
          <w:rFonts w:ascii="Times New Roman" w:hAnsi="Times New Roman" w:cs="Times New Roman"/>
          <w:i/>
          <w:sz w:val="20"/>
          <w:szCs w:val="20"/>
        </w:rPr>
        <w:t>Melloni</w:t>
      </w:r>
      <w:proofErr w:type="spellEnd"/>
      <w:r w:rsidRPr="00347181">
        <w:rPr>
          <w:rFonts w:ascii="Times New Roman" w:hAnsi="Times New Roman" w:cs="Times New Roman"/>
          <w:i/>
          <w:sz w:val="20"/>
          <w:szCs w:val="20"/>
        </w:rPr>
        <w:t xml:space="preserve"> v. </w:t>
      </w:r>
      <w:proofErr w:type="spellStart"/>
      <w:r w:rsidRPr="00347181">
        <w:rPr>
          <w:rFonts w:ascii="Times New Roman" w:hAnsi="Times New Roman" w:cs="Times New Roman"/>
          <w:i/>
          <w:sz w:val="20"/>
          <w:szCs w:val="20"/>
        </w:rPr>
        <w:t>Ministerio</w:t>
      </w:r>
      <w:proofErr w:type="spellEnd"/>
      <w:r w:rsidRPr="00347181">
        <w:rPr>
          <w:rFonts w:ascii="Times New Roman" w:hAnsi="Times New Roman" w:cs="Times New Roman"/>
          <w:i/>
          <w:sz w:val="20"/>
          <w:szCs w:val="20"/>
        </w:rPr>
        <w:t xml:space="preserve"> Fiscal,</w:t>
      </w:r>
      <w:r w:rsidRPr="00347181">
        <w:rPr>
          <w:rFonts w:ascii="Times New Roman" w:hAnsi="Times New Roman" w:cs="Times New Roman"/>
          <w:sz w:val="20"/>
          <w:szCs w:val="20"/>
        </w:rPr>
        <w:t xml:space="preserve"> ECLR 2014</w:t>
      </w:r>
      <w:r>
        <w:rPr>
          <w:rFonts w:ascii="Times New Roman" w:hAnsi="Times New Roman" w:cs="Times New Roman"/>
          <w:sz w:val="20"/>
          <w:szCs w:val="20"/>
        </w:rPr>
        <w:t xml:space="preserve">, pp. </w:t>
      </w:r>
      <w:r w:rsidRPr="00347181">
        <w:rPr>
          <w:rFonts w:ascii="Times New Roman" w:hAnsi="Times New Roman" w:cs="Times New Roman"/>
          <w:sz w:val="20"/>
          <w:szCs w:val="20"/>
        </w:rPr>
        <w:t xml:space="preserve">19-40; L. F.M. </w:t>
      </w:r>
      <w:proofErr w:type="spellStart"/>
      <w:r w:rsidRPr="00347181">
        <w:rPr>
          <w:rFonts w:ascii="Times New Roman" w:hAnsi="Times New Roman" w:cs="Times New Roman"/>
          <w:sz w:val="20"/>
          <w:szCs w:val="20"/>
        </w:rPr>
        <w:t>Besselink</w:t>
      </w:r>
      <w:proofErr w:type="spellEnd"/>
      <w:r w:rsidRPr="00347181">
        <w:rPr>
          <w:rFonts w:ascii="Times New Roman" w:hAnsi="Times New Roman" w:cs="Times New Roman"/>
          <w:sz w:val="20"/>
          <w:szCs w:val="20"/>
        </w:rPr>
        <w:t xml:space="preserve">, The parameters of constitutional conflict after </w:t>
      </w:r>
      <w:proofErr w:type="spellStart"/>
      <w:r w:rsidRPr="00347181">
        <w:rPr>
          <w:rFonts w:ascii="Times New Roman" w:hAnsi="Times New Roman" w:cs="Times New Roman"/>
          <w:sz w:val="20"/>
          <w:szCs w:val="20"/>
        </w:rPr>
        <w:t>Melloni</w:t>
      </w:r>
      <w:proofErr w:type="spellEnd"/>
      <w:r w:rsidRPr="00347181">
        <w:rPr>
          <w:rFonts w:ascii="Times New Roman" w:hAnsi="Times New Roman" w:cs="Times New Roman"/>
          <w:sz w:val="20"/>
          <w:szCs w:val="20"/>
        </w:rPr>
        <w:t xml:space="preserve">, </w:t>
      </w:r>
      <w:proofErr w:type="spellStart"/>
      <w:r w:rsidRPr="00347181">
        <w:rPr>
          <w:rFonts w:ascii="Times New Roman" w:hAnsi="Times New Roman" w:cs="Times New Roman"/>
          <w:sz w:val="20"/>
          <w:szCs w:val="20"/>
        </w:rPr>
        <w:t>ELRev</w:t>
      </w:r>
      <w:proofErr w:type="spellEnd"/>
      <w:r w:rsidRPr="00347181">
        <w:rPr>
          <w:rFonts w:ascii="Times New Roman" w:hAnsi="Times New Roman" w:cs="Times New Roman"/>
          <w:sz w:val="20"/>
          <w:szCs w:val="20"/>
        </w:rPr>
        <w:t>. 2014 p</w:t>
      </w:r>
      <w:r>
        <w:rPr>
          <w:rFonts w:ascii="Times New Roman" w:hAnsi="Times New Roman" w:cs="Times New Roman"/>
          <w:sz w:val="20"/>
          <w:szCs w:val="20"/>
        </w:rPr>
        <w:t>p</w:t>
      </w:r>
      <w:r w:rsidRPr="00347181">
        <w:rPr>
          <w:rFonts w:ascii="Times New Roman" w:hAnsi="Times New Roman" w:cs="Times New Roman"/>
          <w:sz w:val="20"/>
          <w:szCs w:val="20"/>
        </w:rPr>
        <w:t xml:space="preserve">. 531-552; J. </w:t>
      </w:r>
      <w:proofErr w:type="spellStart"/>
      <w:r w:rsidRPr="00347181">
        <w:rPr>
          <w:rFonts w:ascii="Times New Roman" w:hAnsi="Times New Roman" w:cs="Times New Roman"/>
          <w:sz w:val="20"/>
          <w:szCs w:val="20"/>
        </w:rPr>
        <w:t>Vervaele</w:t>
      </w:r>
      <w:proofErr w:type="spellEnd"/>
      <w:r w:rsidRPr="00347181">
        <w:rPr>
          <w:rFonts w:ascii="Times New Roman" w:hAnsi="Times New Roman" w:cs="Times New Roman"/>
          <w:sz w:val="20"/>
          <w:szCs w:val="20"/>
        </w:rPr>
        <w:t xml:space="preserve">, </w:t>
      </w:r>
      <w:r w:rsidRPr="00347181">
        <w:rPr>
          <w:rFonts w:ascii="Times New Roman" w:hAnsi="Times New Roman" w:cs="Times New Roman"/>
          <w:i/>
          <w:sz w:val="20"/>
          <w:szCs w:val="20"/>
        </w:rPr>
        <w:t>The European Arrest Warrant and Applicable Standards of Fundamental Rights in the EU</w:t>
      </w:r>
      <w:r w:rsidRPr="00347181">
        <w:rPr>
          <w:rFonts w:ascii="Times New Roman" w:hAnsi="Times New Roman" w:cs="Times New Roman"/>
          <w:sz w:val="20"/>
          <w:szCs w:val="20"/>
        </w:rPr>
        <w:t xml:space="preserve">, </w:t>
      </w:r>
      <w:proofErr w:type="spellStart"/>
      <w:r w:rsidRPr="00347181">
        <w:rPr>
          <w:rFonts w:ascii="Times New Roman" w:hAnsi="Times New Roman" w:cs="Times New Roman"/>
          <w:sz w:val="20"/>
          <w:szCs w:val="20"/>
        </w:rPr>
        <w:t>Rev.EAL</w:t>
      </w:r>
      <w:proofErr w:type="spellEnd"/>
      <w:r w:rsidRPr="00347181">
        <w:rPr>
          <w:rFonts w:ascii="Times New Roman" w:hAnsi="Times New Roman" w:cs="Times New Roman"/>
          <w:sz w:val="20"/>
          <w:szCs w:val="20"/>
        </w:rPr>
        <w:t xml:space="preserve"> (2013) p</w:t>
      </w:r>
      <w:r>
        <w:rPr>
          <w:rFonts w:ascii="Times New Roman" w:hAnsi="Times New Roman" w:cs="Times New Roman"/>
          <w:sz w:val="20"/>
          <w:szCs w:val="20"/>
        </w:rPr>
        <w:t>p</w:t>
      </w:r>
      <w:r w:rsidRPr="00347181">
        <w:rPr>
          <w:rFonts w:ascii="Times New Roman" w:hAnsi="Times New Roman" w:cs="Times New Roman"/>
          <w:sz w:val="20"/>
          <w:szCs w:val="20"/>
        </w:rPr>
        <w:t>. 37-54.</w:t>
      </w:r>
    </w:p>
  </w:footnote>
  <w:footnote w:id="28">
    <w:p w14:paraId="7AB0B5B2" w14:textId="18AC240B" w:rsidR="003D4C37" w:rsidRDefault="003D4C37">
      <w:pPr>
        <w:pStyle w:val="Footnote"/>
        <w:jc w:val="both"/>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sidRPr="00A56021">
        <w:rPr>
          <w:rFonts w:ascii="Times New Roman" w:eastAsia="Arial Unicode MS" w:hAnsi="Times New Roman" w:cs="Times New Roman"/>
          <w:color w:val="auto"/>
          <w:sz w:val="20"/>
          <w:szCs w:val="20"/>
          <w:lang w:val="en-US"/>
        </w:rPr>
        <w:t xml:space="preserve">For an academic appraisal see, </w:t>
      </w:r>
      <w:r w:rsidRPr="00A56021">
        <w:rPr>
          <w:rFonts w:ascii="Times New Roman" w:eastAsia="Arial Unicode MS" w:hAnsi="Times New Roman" w:cs="Times New Roman"/>
          <w:i/>
          <w:color w:val="auto"/>
          <w:sz w:val="20"/>
          <w:szCs w:val="20"/>
          <w:lang w:val="en-US"/>
        </w:rPr>
        <w:t>inter alia</w:t>
      </w:r>
      <w:r w:rsidRPr="00A56021">
        <w:rPr>
          <w:rFonts w:ascii="Times New Roman" w:eastAsia="Arial Unicode MS" w:hAnsi="Times New Roman" w:cs="Times New Roman"/>
          <w:color w:val="auto"/>
          <w:sz w:val="20"/>
          <w:szCs w:val="20"/>
          <w:lang w:val="en-US"/>
        </w:rPr>
        <w:t xml:space="preserve">, </w:t>
      </w:r>
      <w:r>
        <w:rPr>
          <w:rFonts w:ascii="Times New Roman" w:eastAsia="Arial Unicode MS" w:hAnsi="Times New Roman" w:cs="Times New Roman"/>
          <w:color w:val="auto"/>
          <w:sz w:val="20"/>
          <w:szCs w:val="20"/>
          <w:lang w:val="en-US"/>
        </w:rPr>
        <w:t xml:space="preserve">D. Halberstam, </w:t>
      </w:r>
      <w:r w:rsidRPr="00884D5B">
        <w:rPr>
          <w:rFonts w:ascii="Times New Roman" w:eastAsia="Arial Unicode MS" w:hAnsi="Times New Roman" w:cs="Times New Roman"/>
          <w:i/>
          <w:color w:val="auto"/>
          <w:sz w:val="20"/>
          <w:szCs w:val="20"/>
          <w:lang w:val="en-US"/>
        </w:rPr>
        <w:t>“It’s the Autonomy, Stupid!” A Modest Defense of Opinion 2/13 on EU Accession to the ECHR, and the Way Forward</w:t>
      </w:r>
      <w:r w:rsidRPr="00A56021">
        <w:rPr>
          <w:rFonts w:ascii="Times New Roman" w:eastAsia="Arial Unicode MS" w:hAnsi="Times New Roman" w:cs="Times New Roman"/>
          <w:color w:val="auto"/>
          <w:sz w:val="20"/>
          <w:szCs w:val="20"/>
          <w:lang w:val="en-US"/>
        </w:rPr>
        <w:t>, 16</w:t>
      </w:r>
      <w:r>
        <w:rPr>
          <w:rFonts w:ascii="Times New Roman" w:eastAsia="Arial Unicode MS" w:hAnsi="Times New Roman" w:cs="Times New Roman"/>
          <w:color w:val="auto"/>
          <w:sz w:val="20"/>
          <w:szCs w:val="20"/>
          <w:lang w:val="en-US"/>
        </w:rPr>
        <w:t xml:space="preserve"> GLJ (2015) pp. 105–146; C. </w:t>
      </w:r>
      <w:proofErr w:type="spellStart"/>
      <w:r>
        <w:rPr>
          <w:rFonts w:ascii="Times New Roman" w:eastAsia="Arial Unicode MS" w:hAnsi="Times New Roman" w:cs="Times New Roman"/>
          <w:color w:val="auto"/>
          <w:sz w:val="20"/>
          <w:szCs w:val="20"/>
          <w:lang w:val="en-US"/>
        </w:rPr>
        <w:t>Krenn</w:t>
      </w:r>
      <w:proofErr w:type="spellEnd"/>
      <w:r>
        <w:rPr>
          <w:rFonts w:ascii="Times New Roman" w:eastAsia="Arial Unicode MS" w:hAnsi="Times New Roman" w:cs="Times New Roman"/>
          <w:color w:val="auto"/>
          <w:sz w:val="20"/>
          <w:szCs w:val="20"/>
          <w:lang w:val="en-US"/>
        </w:rPr>
        <w:t xml:space="preserve">, </w:t>
      </w:r>
      <w:r w:rsidRPr="00884D5B">
        <w:rPr>
          <w:rFonts w:ascii="Times New Roman" w:eastAsia="Arial Unicode MS" w:hAnsi="Times New Roman" w:cs="Times New Roman"/>
          <w:i/>
          <w:color w:val="auto"/>
          <w:sz w:val="20"/>
          <w:szCs w:val="20"/>
          <w:lang w:val="en-US"/>
        </w:rPr>
        <w:t>Autonomy and Effectiveness as Common Concerns: A Path to ECHR Accession After Opinion 2/13</w:t>
      </w:r>
      <w:r w:rsidRPr="00A56021">
        <w:rPr>
          <w:rFonts w:ascii="Times New Roman" w:eastAsia="Arial Unicode MS" w:hAnsi="Times New Roman" w:cs="Times New Roman"/>
          <w:color w:val="auto"/>
          <w:sz w:val="20"/>
          <w:szCs w:val="20"/>
          <w:lang w:val="en-US"/>
        </w:rPr>
        <w:t xml:space="preserve">, 16 GLJ (2015) </w:t>
      </w:r>
      <w:r>
        <w:rPr>
          <w:rFonts w:ascii="Times New Roman" w:eastAsia="Arial Unicode MS" w:hAnsi="Times New Roman" w:cs="Times New Roman"/>
          <w:color w:val="auto"/>
          <w:sz w:val="20"/>
          <w:szCs w:val="20"/>
          <w:lang w:val="en-US"/>
        </w:rPr>
        <w:t xml:space="preserve">pp. 147–168; S. </w:t>
      </w:r>
      <w:proofErr w:type="spellStart"/>
      <w:r>
        <w:rPr>
          <w:rFonts w:ascii="Times New Roman" w:eastAsia="Arial Unicode MS" w:hAnsi="Times New Roman" w:cs="Times New Roman"/>
          <w:color w:val="auto"/>
          <w:sz w:val="20"/>
          <w:szCs w:val="20"/>
          <w:lang w:val="en-US"/>
        </w:rPr>
        <w:t>Øby</w:t>
      </w:r>
      <w:proofErr w:type="spellEnd"/>
      <w:r>
        <w:rPr>
          <w:rFonts w:ascii="Times New Roman" w:eastAsia="Arial Unicode MS" w:hAnsi="Times New Roman" w:cs="Times New Roman"/>
          <w:color w:val="auto"/>
          <w:sz w:val="20"/>
          <w:szCs w:val="20"/>
          <w:lang w:val="en-US"/>
        </w:rPr>
        <w:t xml:space="preserve"> Johansen, </w:t>
      </w:r>
      <w:r w:rsidRPr="00884D5B">
        <w:rPr>
          <w:rFonts w:ascii="Times New Roman" w:eastAsia="Arial Unicode MS" w:hAnsi="Times New Roman" w:cs="Times New Roman"/>
          <w:i/>
          <w:color w:val="auto"/>
          <w:sz w:val="20"/>
          <w:szCs w:val="20"/>
          <w:lang w:val="en-US"/>
        </w:rPr>
        <w:t>The Reinterpretation of TFEU Article 344 in Opinion 2/13 and its Potential Consequences</w:t>
      </w:r>
      <w:r w:rsidRPr="00A56021">
        <w:rPr>
          <w:rFonts w:ascii="Times New Roman" w:eastAsia="Arial Unicode MS" w:hAnsi="Times New Roman" w:cs="Times New Roman"/>
          <w:color w:val="auto"/>
          <w:sz w:val="20"/>
          <w:szCs w:val="20"/>
          <w:lang w:val="en-US"/>
        </w:rPr>
        <w:t xml:space="preserve">, 16 GLJ (2015) </w:t>
      </w:r>
      <w:r>
        <w:rPr>
          <w:rFonts w:ascii="Times New Roman" w:eastAsia="Arial Unicode MS" w:hAnsi="Times New Roman" w:cs="Times New Roman"/>
          <w:color w:val="auto"/>
          <w:sz w:val="20"/>
          <w:szCs w:val="20"/>
          <w:lang w:val="en-US"/>
        </w:rPr>
        <w:t xml:space="preserve">pp. </w:t>
      </w:r>
      <w:r w:rsidRPr="00A56021">
        <w:rPr>
          <w:rFonts w:ascii="Times New Roman" w:eastAsia="Arial Unicode MS" w:hAnsi="Times New Roman" w:cs="Times New Roman"/>
          <w:color w:val="auto"/>
          <w:sz w:val="20"/>
          <w:szCs w:val="20"/>
          <w:lang w:val="en-US"/>
        </w:rPr>
        <w:t>169–178</w:t>
      </w:r>
      <w:r>
        <w:rPr>
          <w:rFonts w:ascii="Times New Roman" w:eastAsia="Arial Unicode MS" w:hAnsi="Times New Roman" w:cs="Times New Roman"/>
          <w:color w:val="auto"/>
          <w:sz w:val="20"/>
          <w:szCs w:val="20"/>
          <w:lang w:val="en-US"/>
        </w:rPr>
        <w:t xml:space="preserve">; A. </w:t>
      </w:r>
      <w:proofErr w:type="spellStart"/>
      <w:r>
        <w:rPr>
          <w:rFonts w:ascii="Times New Roman" w:eastAsia="Arial Unicode MS" w:hAnsi="Times New Roman" w:cs="Times New Roman"/>
          <w:color w:val="auto"/>
          <w:sz w:val="20"/>
          <w:szCs w:val="20"/>
          <w:lang w:val="en-US"/>
        </w:rPr>
        <w:t>Łazowski</w:t>
      </w:r>
      <w:proofErr w:type="spellEnd"/>
      <w:r>
        <w:rPr>
          <w:rFonts w:ascii="Times New Roman" w:eastAsia="Arial Unicode MS" w:hAnsi="Times New Roman" w:cs="Times New Roman"/>
          <w:color w:val="auto"/>
          <w:sz w:val="20"/>
          <w:szCs w:val="20"/>
          <w:lang w:val="en-US"/>
        </w:rPr>
        <w:t xml:space="preserve"> and R.A. Wessel, </w:t>
      </w:r>
      <w:r w:rsidRPr="00884D5B">
        <w:rPr>
          <w:rFonts w:ascii="Times New Roman" w:eastAsia="Arial Unicode MS" w:hAnsi="Times New Roman" w:cs="Times New Roman"/>
          <w:i/>
          <w:color w:val="auto"/>
          <w:sz w:val="20"/>
          <w:szCs w:val="20"/>
          <w:lang w:val="en-US"/>
        </w:rPr>
        <w:t>When Caveats Turn into Locks: Opinion 2/13 on Accession of the European Union to the ECHR</w:t>
      </w:r>
      <w:r w:rsidRPr="00A56021">
        <w:rPr>
          <w:rFonts w:ascii="Times New Roman" w:eastAsia="Arial Unicode MS" w:hAnsi="Times New Roman" w:cs="Times New Roman"/>
          <w:color w:val="auto"/>
          <w:sz w:val="20"/>
          <w:szCs w:val="20"/>
          <w:lang w:val="en-US"/>
        </w:rPr>
        <w:t xml:space="preserve">, 16 GLJ (2015) </w:t>
      </w:r>
      <w:r>
        <w:rPr>
          <w:rFonts w:ascii="Times New Roman" w:eastAsia="Arial Unicode MS" w:hAnsi="Times New Roman" w:cs="Times New Roman"/>
          <w:color w:val="auto"/>
          <w:sz w:val="20"/>
          <w:szCs w:val="20"/>
          <w:lang w:val="en-US"/>
        </w:rPr>
        <w:t xml:space="preserve">pp. 179–212; S. Peers, </w:t>
      </w:r>
      <w:r w:rsidRPr="00884D5B">
        <w:rPr>
          <w:rFonts w:ascii="Times New Roman" w:eastAsia="Arial Unicode MS" w:hAnsi="Times New Roman" w:cs="Times New Roman"/>
          <w:i/>
          <w:color w:val="auto"/>
          <w:sz w:val="20"/>
          <w:szCs w:val="20"/>
          <w:lang w:val="en-US"/>
        </w:rPr>
        <w:t>The EU’s Accession to the ECHR: The Dream Becomes a Nightmare</w:t>
      </w:r>
      <w:r w:rsidRPr="00A56021">
        <w:rPr>
          <w:rFonts w:ascii="Times New Roman" w:eastAsia="Arial Unicode MS" w:hAnsi="Times New Roman" w:cs="Times New Roman"/>
          <w:color w:val="auto"/>
          <w:sz w:val="20"/>
          <w:szCs w:val="20"/>
          <w:lang w:val="en-US"/>
        </w:rPr>
        <w:t xml:space="preserve">, 16 GLJ (2015) </w:t>
      </w:r>
      <w:r>
        <w:rPr>
          <w:rFonts w:ascii="Times New Roman" w:eastAsia="Arial Unicode MS" w:hAnsi="Times New Roman" w:cs="Times New Roman"/>
          <w:color w:val="auto"/>
          <w:sz w:val="20"/>
          <w:szCs w:val="20"/>
          <w:lang w:val="en-US"/>
        </w:rPr>
        <w:t xml:space="preserve">pp. </w:t>
      </w:r>
      <w:r w:rsidRPr="00A56021">
        <w:rPr>
          <w:rFonts w:ascii="Times New Roman" w:eastAsia="Arial Unicode MS" w:hAnsi="Times New Roman" w:cs="Times New Roman"/>
          <w:color w:val="auto"/>
          <w:sz w:val="20"/>
          <w:szCs w:val="20"/>
          <w:lang w:val="en-US"/>
        </w:rPr>
        <w:t xml:space="preserve">213–222; P. </w:t>
      </w:r>
      <w:proofErr w:type="spellStart"/>
      <w:r w:rsidRPr="00A56021">
        <w:rPr>
          <w:rFonts w:ascii="Times New Roman" w:eastAsia="Arial Unicode MS" w:hAnsi="Times New Roman" w:cs="Times New Roman"/>
          <w:color w:val="auto"/>
          <w:sz w:val="20"/>
          <w:szCs w:val="20"/>
          <w:lang w:val="en-US"/>
        </w:rPr>
        <w:t>Eeckhout</w:t>
      </w:r>
      <w:proofErr w:type="spellEnd"/>
      <w:r w:rsidRPr="00A56021">
        <w:rPr>
          <w:rFonts w:ascii="Times New Roman" w:eastAsia="Arial Unicode MS" w:hAnsi="Times New Roman" w:cs="Times New Roman"/>
          <w:color w:val="auto"/>
          <w:sz w:val="20"/>
          <w:szCs w:val="20"/>
          <w:lang w:val="en-US"/>
        </w:rPr>
        <w:t xml:space="preserve">, </w:t>
      </w:r>
      <w:r w:rsidRPr="00A56021">
        <w:rPr>
          <w:rFonts w:ascii="Times New Roman" w:eastAsia="Arial Unicode MS" w:hAnsi="Times New Roman" w:cs="Times New Roman"/>
          <w:i/>
          <w:color w:val="auto"/>
          <w:sz w:val="20"/>
          <w:szCs w:val="20"/>
          <w:lang w:val="en-US"/>
        </w:rPr>
        <w:t>Opinion 2/13 on EU Accession to the ECHR and Judicial Dialogue: Autonomy or Autarky</w:t>
      </w:r>
      <w:r w:rsidRPr="00A56021">
        <w:rPr>
          <w:rFonts w:ascii="Times New Roman" w:eastAsia="Arial Unicode MS" w:hAnsi="Times New Roman" w:cs="Times New Roman"/>
          <w:color w:val="auto"/>
          <w:sz w:val="20"/>
          <w:szCs w:val="20"/>
          <w:lang w:val="en-US"/>
        </w:rPr>
        <w:t xml:space="preserve">, 38 Fordham Int'l L.J. (2015) p. 955; B. de Witte and Š. </w:t>
      </w:r>
      <w:proofErr w:type="spellStart"/>
      <w:r w:rsidRPr="00A56021">
        <w:rPr>
          <w:rFonts w:ascii="Times New Roman" w:eastAsia="Arial Unicode MS" w:hAnsi="Times New Roman" w:cs="Times New Roman"/>
          <w:color w:val="auto"/>
          <w:sz w:val="20"/>
          <w:szCs w:val="20"/>
          <w:lang w:val="en-US"/>
        </w:rPr>
        <w:t>Imamovic</w:t>
      </w:r>
      <w:proofErr w:type="spellEnd"/>
      <w:r w:rsidRPr="00A56021">
        <w:rPr>
          <w:rFonts w:ascii="Times New Roman" w:eastAsia="Arial Unicode MS" w:hAnsi="Times New Roman" w:cs="Times New Roman"/>
          <w:color w:val="auto"/>
          <w:sz w:val="20"/>
          <w:szCs w:val="20"/>
          <w:lang w:val="en-US"/>
        </w:rPr>
        <w:t xml:space="preserve">́, </w:t>
      </w:r>
      <w:r w:rsidRPr="00A56021">
        <w:rPr>
          <w:rFonts w:ascii="Times New Roman" w:eastAsia="Arial Unicode MS" w:hAnsi="Times New Roman" w:cs="Times New Roman"/>
          <w:i/>
          <w:color w:val="auto"/>
          <w:sz w:val="20"/>
          <w:szCs w:val="20"/>
          <w:lang w:val="en-US"/>
        </w:rPr>
        <w:t>Opinion 2/13 on Accession to the ECHR: Defending the EU Legal Order against a Foreign Human Rights Court</w:t>
      </w:r>
      <w:r w:rsidRPr="00A56021">
        <w:rPr>
          <w:rFonts w:ascii="Times New Roman" w:eastAsia="Arial Unicode MS" w:hAnsi="Times New Roman" w:cs="Times New Roman"/>
          <w:color w:val="auto"/>
          <w:sz w:val="20"/>
          <w:szCs w:val="20"/>
          <w:lang w:val="en-US"/>
        </w:rPr>
        <w:t xml:space="preserve">, 40 </w:t>
      </w:r>
      <w:proofErr w:type="spellStart"/>
      <w:r w:rsidRPr="00A56021">
        <w:rPr>
          <w:rFonts w:ascii="Times New Roman" w:eastAsia="Arial Unicode MS" w:hAnsi="Times New Roman" w:cs="Times New Roman"/>
          <w:color w:val="auto"/>
          <w:sz w:val="20"/>
          <w:szCs w:val="20"/>
          <w:lang w:val="en-US"/>
        </w:rPr>
        <w:t>ELRev</w:t>
      </w:r>
      <w:proofErr w:type="spellEnd"/>
      <w:r w:rsidRPr="00A56021">
        <w:rPr>
          <w:rFonts w:ascii="Times New Roman" w:eastAsia="Arial Unicode MS" w:hAnsi="Times New Roman" w:cs="Times New Roman"/>
          <w:color w:val="auto"/>
          <w:sz w:val="20"/>
          <w:szCs w:val="20"/>
          <w:lang w:val="en-US"/>
        </w:rPr>
        <w:t xml:space="preserve">. (2015) pp. 683–705; B. H. Pirker, S. </w:t>
      </w:r>
      <w:proofErr w:type="spellStart"/>
      <w:r w:rsidRPr="00A56021">
        <w:rPr>
          <w:rFonts w:ascii="Times New Roman" w:eastAsia="Arial Unicode MS" w:hAnsi="Times New Roman" w:cs="Times New Roman"/>
          <w:color w:val="auto"/>
          <w:sz w:val="20"/>
          <w:szCs w:val="20"/>
          <w:lang w:val="en-US"/>
        </w:rPr>
        <w:t>Reitemeyer</w:t>
      </w:r>
      <w:proofErr w:type="spellEnd"/>
      <w:r w:rsidRPr="00A56021">
        <w:rPr>
          <w:rFonts w:ascii="Times New Roman" w:eastAsia="Arial Unicode MS" w:hAnsi="Times New Roman" w:cs="Times New Roman"/>
          <w:color w:val="auto"/>
          <w:sz w:val="20"/>
          <w:szCs w:val="20"/>
          <w:lang w:val="en-US"/>
        </w:rPr>
        <w:t xml:space="preserve">, </w:t>
      </w:r>
      <w:r w:rsidRPr="00A56021">
        <w:rPr>
          <w:rFonts w:ascii="Times New Roman" w:eastAsia="Arial Unicode MS" w:hAnsi="Times New Roman" w:cs="Times New Roman"/>
          <w:i/>
          <w:color w:val="auto"/>
          <w:sz w:val="20"/>
          <w:szCs w:val="20"/>
          <w:lang w:val="en-US"/>
        </w:rPr>
        <w:t>Between Discursive and Exclusive Autonomy – Opinion 2/13, the Protection of Fundamental Rights and the Autonomy of EU Law</w:t>
      </w:r>
      <w:r w:rsidRPr="00A56021">
        <w:rPr>
          <w:rFonts w:ascii="Times New Roman" w:eastAsia="Arial Unicode MS" w:hAnsi="Times New Roman" w:cs="Times New Roman"/>
          <w:color w:val="auto"/>
          <w:sz w:val="20"/>
          <w:szCs w:val="20"/>
          <w:lang w:val="en-US"/>
        </w:rPr>
        <w:t>, 17 CYELS (2015) pp. 168-188.</w:t>
      </w:r>
    </w:p>
  </w:footnote>
  <w:footnote w:id="29">
    <w:p w14:paraId="2EE3CD66" w14:textId="528140AA" w:rsidR="003D4C37" w:rsidRPr="003D5DA0" w:rsidRDefault="003D4C37">
      <w:pPr>
        <w:pStyle w:val="Footnote"/>
        <w:jc w:val="both"/>
        <w:rPr>
          <w:sz w:val="20"/>
          <w:szCs w:val="20"/>
        </w:rPr>
      </w:pPr>
      <w:r w:rsidRPr="003D5DA0">
        <w:rPr>
          <w:rFonts w:ascii="Times New Roman" w:eastAsia="Times New Roman" w:hAnsi="Times New Roman" w:cs="Times New Roman"/>
          <w:sz w:val="20"/>
          <w:szCs w:val="20"/>
          <w:vertAlign w:val="superscript"/>
        </w:rPr>
        <w:footnoteRef/>
      </w:r>
      <w:r w:rsidRPr="003D5DA0">
        <w:rPr>
          <w:rFonts w:ascii="Times New Roman" w:hAnsi="Times New Roman"/>
          <w:sz w:val="20"/>
          <w:szCs w:val="20"/>
        </w:rPr>
        <w:t xml:space="preserve"> C-105/03 </w:t>
      </w:r>
      <w:r w:rsidRPr="00865F16">
        <w:rPr>
          <w:rFonts w:ascii="Times New Roman" w:hAnsi="Times New Roman"/>
          <w:i/>
          <w:sz w:val="20"/>
          <w:szCs w:val="20"/>
        </w:rPr>
        <w:t xml:space="preserve">Criminal proceedings against Maria </w:t>
      </w:r>
      <w:proofErr w:type="spellStart"/>
      <w:r w:rsidRPr="00865F16">
        <w:rPr>
          <w:rFonts w:ascii="Times New Roman" w:hAnsi="Times New Roman"/>
          <w:i/>
          <w:sz w:val="20"/>
          <w:szCs w:val="20"/>
        </w:rPr>
        <w:t>Pupino</w:t>
      </w:r>
      <w:proofErr w:type="spellEnd"/>
      <w:r w:rsidRPr="003D5DA0">
        <w:rPr>
          <w:rFonts w:ascii="Times New Roman" w:hAnsi="Times New Roman"/>
          <w:sz w:val="20"/>
          <w:szCs w:val="20"/>
        </w:rPr>
        <w:t xml:space="preserve">, ECLI:EU:C:2005:386. For an academic appraisal see, </w:t>
      </w:r>
      <w:r w:rsidRPr="00865F16">
        <w:rPr>
          <w:rFonts w:ascii="Times New Roman" w:hAnsi="Times New Roman"/>
          <w:i/>
          <w:sz w:val="20"/>
          <w:szCs w:val="20"/>
        </w:rPr>
        <w:t>inter alia</w:t>
      </w:r>
      <w:r>
        <w:rPr>
          <w:rFonts w:ascii="Times New Roman" w:hAnsi="Times New Roman"/>
          <w:sz w:val="20"/>
          <w:szCs w:val="20"/>
        </w:rPr>
        <w:t xml:space="preserve">, M. Fletcher, </w:t>
      </w:r>
      <w:r w:rsidRPr="003D5DA0">
        <w:rPr>
          <w:rFonts w:ascii="Times New Roman" w:hAnsi="Times New Roman"/>
          <w:sz w:val="20"/>
          <w:szCs w:val="20"/>
        </w:rPr>
        <w:t>Extending “indirect effect” to the third pill</w:t>
      </w:r>
      <w:r>
        <w:rPr>
          <w:rFonts w:ascii="Times New Roman" w:hAnsi="Times New Roman"/>
          <w:sz w:val="20"/>
          <w:szCs w:val="20"/>
        </w:rPr>
        <w:t xml:space="preserve">ar: the significance of </w:t>
      </w:r>
      <w:proofErr w:type="spellStart"/>
      <w:proofErr w:type="gramStart"/>
      <w:r>
        <w:rPr>
          <w:rFonts w:ascii="Times New Roman" w:hAnsi="Times New Roman"/>
          <w:sz w:val="20"/>
          <w:szCs w:val="20"/>
        </w:rPr>
        <w:t>Pupino</w:t>
      </w:r>
      <w:proofErr w:type="spellEnd"/>
      <w:r>
        <w:rPr>
          <w:rFonts w:ascii="Times New Roman" w:hAnsi="Times New Roman"/>
          <w:sz w:val="20"/>
          <w:szCs w:val="20"/>
        </w:rPr>
        <w:t>?,</w:t>
      </w:r>
      <w:proofErr w:type="gramEnd"/>
      <w:r w:rsidRPr="003D5DA0">
        <w:rPr>
          <w:rFonts w:ascii="Times New Roman" w:hAnsi="Times New Roman"/>
          <w:sz w:val="20"/>
          <w:szCs w:val="20"/>
        </w:rPr>
        <w:t xml:space="preserve"> 30 </w:t>
      </w:r>
      <w:proofErr w:type="spellStart"/>
      <w:r>
        <w:rPr>
          <w:rFonts w:ascii="Times New Roman" w:hAnsi="Times New Roman"/>
          <w:sz w:val="20"/>
          <w:szCs w:val="20"/>
        </w:rPr>
        <w:t>ELRev</w:t>
      </w:r>
      <w:proofErr w:type="spellEnd"/>
      <w:r>
        <w:rPr>
          <w:rFonts w:ascii="Times New Roman" w:hAnsi="Times New Roman"/>
          <w:sz w:val="20"/>
          <w:szCs w:val="20"/>
        </w:rPr>
        <w:t>.</w:t>
      </w:r>
      <w:r w:rsidRPr="003D5DA0">
        <w:rPr>
          <w:rFonts w:ascii="Times New Roman" w:hAnsi="Times New Roman"/>
          <w:sz w:val="20"/>
          <w:szCs w:val="20"/>
        </w:rPr>
        <w:t xml:space="preserve"> (2005) </w:t>
      </w:r>
      <w:r>
        <w:rPr>
          <w:rFonts w:ascii="Times New Roman" w:hAnsi="Times New Roman"/>
          <w:sz w:val="20"/>
          <w:szCs w:val="20"/>
        </w:rPr>
        <w:t xml:space="preserve">pp. </w:t>
      </w:r>
      <w:r w:rsidRPr="003D5DA0">
        <w:rPr>
          <w:rFonts w:ascii="Times New Roman" w:hAnsi="Times New Roman"/>
          <w:sz w:val="20"/>
          <w:szCs w:val="20"/>
        </w:rPr>
        <w:t>862–</w:t>
      </w:r>
      <w:r>
        <w:rPr>
          <w:rFonts w:ascii="Times New Roman" w:hAnsi="Times New Roman"/>
          <w:sz w:val="20"/>
          <w:szCs w:val="20"/>
        </w:rPr>
        <w:t>8</w:t>
      </w:r>
      <w:r w:rsidRPr="003D5DA0">
        <w:rPr>
          <w:rFonts w:ascii="Times New Roman" w:hAnsi="Times New Roman"/>
          <w:sz w:val="20"/>
          <w:szCs w:val="20"/>
        </w:rPr>
        <w:t>77; E</w:t>
      </w:r>
      <w:r>
        <w:rPr>
          <w:rFonts w:ascii="Times New Roman" w:hAnsi="Times New Roman"/>
          <w:sz w:val="20"/>
          <w:szCs w:val="20"/>
        </w:rPr>
        <w:t xml:space="preserve">. </w:t>
      </w:r>
      <w:proofErr w:type="spellStart"/>
      <w:r>
        <w:rPr>
          <w:rFonts w:ascii="Times New Roman" w:hAnsi="Times New Roman"/>
          <w:sz w:val="20"/>
          <w:szCs w:val="20"/>
        </w:rPr>
        <w:t>Spaventa</w:t>
      </w:r>
      <w:proofErr w:type="spellEnd"/>
      <w:r>
        <w:rPr>
          <w:rFonts w:ascii="Times New Roman" w:hAnsi="Times New Roman"/>
          <w:sz w:val="20"/>
          <w:szCs w:val="20"/>
        </w:rPr>
        <w:t xml:space="preserve">, </w:t>
      </w:r>
      <w:r w:rsidRPr="00073498">
        <w:rPr>
          <w:rFonts w:ascii="Times New Roman" w:hAnsi="Times New Roman"/>
          <w:i/>
          <w:sz w:val="20"/>
          <w:szCs w:val="20"/>
        </w:rPr>
        <w:t xml:space="preserve">Opening Pandora’s Box: Some Reflections on the Constitutional Effects of the Decision in </w:t>
      </w:r>
      <w:proofErr w:type="spellStart"/>
      <w:r w:rsidRPr="00073498">
        <w:rPr>
          <w:rFonts w:ascii="Times New Roman" w:hAnsi="Times New Roman"/>
          <w:i/>
          <w:sz w:val="20"/>
          <w:szCs w:val="20"/>
        </w:rPr>
        <w:t>Pupino</w:t>
      </w:r>
      <w:proofErr w:type="spellEnd"/>
      <w:r>
        <w:rPr>
          <w:rFonts w:ascii="Times New Roman" w:hAnsi="Times New Roman"/>
          <w:sz w:val="20"/>
          <w:szCs w:val="20"/>
        </w:rPr>
        <w:t>,</w:t>
      </w:r>
      <w:r w:rsidRPr="003D5DA0">
        <w:rPr>
          <w:rFonts w:ascii="Times New Roman" w:hAnsi="Times New Roman"/>
          <w:sz w:val="20"/>
          <w:szCs w:val="20"/>
        </w:rPr>
        <w:t xml:space="preserve"> 3 </w:t>
      </w:r>
      <w:proofErr w:type="spellStart"/>
      <w:r w:rsidRPr="003D5DA0">
        <w:rPr>
          <w:rFonts w:ascii="Times New Roman" w:hAnsi="Times New Roman"/>
          <w:sz w:val="20"/>
          <w:szCs w:val="20"/>
        </w:rPr>
        <w:t>EuConst</w:t>
      </w:r>
      <w:proofErr w:type="spellEnd"/>
      <w:r>
        <w:rPr>
          <w:rFonts w:ascii="Times New Roman" w:hAnsi="Times New Roman"/>
          <w:sz w:val="20"/>
          <w:szCs w:val="20"/>
        </w:rPr>
        <w:t xml:space="preserve"> </w:t>
      </w:r>
      <w:r w:rsidRPr="003D5DA0">
        <w:rPr>
          <w:rFonts w:ascii="Times New Roman" w:hAnsi="Times New Roman"/>
          <w:sz w:val="20"/>
          <w:szCs w:val="20"/>
        </w:rPr>
        <w:t xml:space="preserve">(2007) </w:t>
      </w:r>
      <w:r>
        <w:rPr>
          <w:rFonts w:ascii="Times New Roman" w:hAnsi="Times New Roman"/>
          <w:sz w:val="20"/>
          <w:szCs w:val="20"/>
        </w:rPr>
        <w:t>pp.</w:t>
      </w:r>
      <w:r w:rsidRPr="003D5DA0">
        <w:rPr>
          <w:rFonts w:ascii="Times New Roman" w:hAnsi="Times New Roman"/>
          <w:sz w:val="20"/>
          <w:szCs w:val="20"/>
        </w:rPr>
        <w:t xml:space="preserve"> 5–24.</w:t>
      </w:r>
    </w:p>
  </w:footnote>
  <w:footnote w:id="30">
    <w:p w14:paraId="744B9F6A" w14:textId="39EFF3F7" w:rsidR="003D4C37" w:rsidRPr="00865F16" w:rsidRDefault="003D4C37">
      <w:pPr>
        <w:pStyle w:val="Footnote"/>
        <w:jc w:val="both"/>
        <w:rPr>
          <w:sz w:val="20"/>
          <w:szCs w:val="20"/>
        </w:rPr>
      </w:pPr>
      <w:r w:rsidRPr="00865F16">
        <w:rPr>
          <w:rFonts w:ascii="Times New Roman" w:eastAsia="Times New Roman" w:hAnsi="Times New Roman" w:cs="Times New Roman"/>
          <w:sz w:val="20"/>
          <w:szCs w:val="20"/>
          <w:vertAlign w:val="superscript"/>
        </w:rPr>
        <w:footnoteRef/>
      </w:r>
      <w:r w:rsidRPr="00865F16">
        <w:rPr>
          <w:rFonts w:ascii="Times New Roman" w:hAnsi="Times New Roman"/>
          <w:sz w:val="20"/>
          <w:szCs w:val="20"/>
        </w:rPr>
        <w:t xml:space="preserve"> Case C-42/11 </w:t>
      </w:r>
      <w:r w:rsidRPr="00073498">
        <w:rPr>
          <w:rFonts w:ascii="Times New Roman" w:hAnsi="Times New Roman"/>
          <w:i/>
          <w:sz w:val="20"/>
          <w:szCs w:val="20"/>
        </w:rPr>
        <w:t xml:space="preserve">Proceedings concerning the execution of a European arrest warrant issued against </w:t>
      </w:r>
      <w:proofErr w:type="spellStart"/>
      <w:r w:rsidRPr="00073498">
        <w:rPr>
          <w:rFonts w:ascii="Times New Roman" w:hAnsi="Times New Roman"/>
          <w:i/>
          <w:sz w:val="20"/>
          <w:szCs w:val="20"/>
        </w:rPr>
        <w:t>João</w:t>
      </w:r>
      <w:proofErr w:type="spellEnd"/>
      <w:r w:rsidRPr="00073498">
        <w:rPr>
          <w:rFonts w:ascii="Times New Roman" w:hAnsi="Times New Roman"/>
          <w:i/>
          <w:sz w:val="20"/>
          <w:szCs w:val="20"/>
        </w:rPr>
        <w:t xml:space="preserve"> Pedro Lopes </w:t>
      </w:r>
      <w:proofErr w:type="gramStart"/>
      <w:r w:rsidRPr="00073498">
        <w:rPr>
          <w:rFonts w:ascii="Times New Roman" w:hAnsi="Times New Roman"/>
          <w:i/>
          <w:sz w:val="20"/>
          <w:szCs w:val="20"/>
        </w:rPr>
        <w:t>Da</w:t>
      </w:r>
      <w:proofErr w:type="gramEnd"/>
      <w:r w:rsidRPr="00073498">
        <w:rPr>
          <w:rFonts w:ascii="Times New Roman" w:hAnsi="Times New Roman"/>
          <w:i/>
          <w:sz w:val="20"/>
          <w:szCs w:val="20"/>
        </w:rPr>
        <w:t xml:space="preserve"> Silva Jorge</w:t>
      </w:r>
      <w:r w:rsidRPr="00865F16">
        <w:rPr>
          <w:rFonts w:ascii="Times New Roman" w:hAnsi="Times New Roman"/>
          <w:sz w:val="20"/>
          <w:szCs w:val="20"/>
        </w:rPr>
        <w:t xml:space="preserve">, ECLI:EU:C:2012:517. For an academic appraisal see, </w:t>
      </w:r>
      <w:r w:rsidRPr="00DE49CE">
        <w:rPr>
          <w:rFonts w:ascii="Times New Roman" w:hAnsi="Times New Roman"/>
          <w:i/>
          <w:sz w:val="20"/>
          <w:szCs w:val="20"/>
        </w:rPr>
        <w:t>inter alia</w:t>
      </w:r>
      <w:r>
        <w:rPr>
          <w:rFonts w:ascii="Times New Roman" w:hAnsi="Times New Roman"/>
          <w:sz w:val="20"/>
          <w:szCs w:val="20"/>
        </w:rPr>
        <w:t xml:space="preserve">, Ch Janssens, </w:t>
      </w:r>
      <w:r w:rsidRPr="00DE49CE">
        <w:rPr>
          <w:rFonts w:ascii="Times New Roman" w:hAnsi="Times New Roman"/>
          <w:i/>
          <w:sz w:val="20"/>
          <w:szCs w:val="20"/>
        </w:rPr>
        <w:t>Differentiation on the Basis of Nationality in Surrender Cases: The Court of Justice Clarifies in Case C-42/11 Lopes Da Silva Jorge the Member States’ Margin of Discretion</w:t>
      </w:r>
      <w:r>
        <w:rPr>
          <w:rFonts w:ascii="Times New Roman" w:hAnsi="Times New Roman"/>
          <w:sz w:val="20"/>
          <w:szCs w:val="20"/>
        </w:rPr>
        <w:t>,</w:t>
      </w:r>
      <w:r w:rsidRPr="00865F16">
        <w:rPr>
          <w:rFonts w:ascii="Times New Roman" w:hAnsi="Times New Roman"/>
          <w:sz w:val="20"/>
          <w:szCs w:val="20"/>
        </w:rPr>
        <w:t xml:space="preserve"> 19 </w:t>
      </w:r>
      <w:r>
        <w:rPr>
          <w:rFonts w:ascii="Times New Roman" w:hAnsi="Times New Roman"/>
          <w:sz w:val="20"/>
          <w:szCs w:val="20"/>
        </w:rPr>
        <w:t>CJEL</w:t>
      </w:r>
      <w:r w:rsidRPr="00865F16">
        <w:rPr>
          <w:rFonts w:ascii="Times New Roman" w:hAnsi="Times New Roman"/>
          <w:sz w:val="20"/>
          <w:szCs w:val="20"/>
        </w:rPr>
        <w:t xml:space="preserve"> (2013)</w:t>
      </w:r>
      <w:r>
        <w:rPr>
          <w:rFonts w:ascii="Times New Roman" w:hAnsi="Times New Roman"/>
          <w:sz w:val="20"/>
          <w:szCs w:val="20"/>
        </w:rPr>
        <w:t xml:space="preserve"> pp.</w:t>
      </w:r>
      <w:r w:rsidRPr="00865F16">
        <w:rPr>
          <w:rFonts w:ascii="Times New Roman" w:hAnsi="Times New Roman"/>
          <w:sz w:val="20"/>
          <w:szCs w:val="20"/>
        </w:rPr>
        <w:t xml:space="preserve"> 553–</w:t>
      </w:r>
      <w:r>
        <w:rPr>
          <w:rFonts w:ascii="Times New Roman" w:hAnsi="Times New Roman"/>
          <w:sz w:val="20"/>
          <w:szCs w:val="20"/>
        </w:rPr>
        <w:t>5</w:t>
      </w:r>
      <w:r w:rsidRPr="00865F16">
        <w:rPr>
          <w:rFonts w:ascii="Times New Roman" w:hAnsi="Times New Roman"/>
          <w:sz w:val="20"/>
          <w:szCs w:val="20"/>
        </w:rPr>
        <w:t>71.</w:t>
      </w:r>
    </w:p>
  </w:footnote>
  <w:footnote w:id="31">
    <w:p w14:paraId="142F8BCA" w14:textId="6D95D729" w:rsidR="003D4C37" w:rsidRPr="0003687F" w:rsidRDefault="003D4C37">
      <w:pPr>
        <w:pStyle w:val="Footnote"/>
        <w:jc w:val="both"/>
        <w:rPr>
          <w:sz w:val="20"/>
          <w:szCs w:val="20"/>
        </w:rPr>
      </w:pPr>
      <w:r w:rsidRPr="0003687F">
        <w:rPr>
          <w:rFonts w:ascii="Times New Roman" w:eastAsia="Times New Roman" w:hAnsi="Times New Roman" w:cs="Times New Roman"/>
          <w:sz w:val="20"/>
          <w:szCs w:val="20"/>
          <w:vertAlign w:val="superscript"/>
        </w:rPr>
        <w:footnoteRef/>
      </w:r>
      <w:r w:rsidRPr="0003687F">
        <w:rPr>
          <w:rFonts w:ascii="Times New Roman" w:hAnsi="Times New Roman"/>
          <w:sz w:val="20"/>
          <w:szCs w:val="20"/>
        </w:rPr>
        <w:t xml:space="preserve"> </w:t>
      </w:r>
      <w:r w:rsidRPr="00924FFD">
        <w:rPr>
          <w:rFonts w:ascii="Times New Roman" w:hAnsi="Times New Roman"/>
          <w:sz w:val="20"/>
          <w:szCs w:val="20"/>
        </w:rPr>
        <w:t xml:space="preserve">Case C-579/15 </w:t>
      </w:r>
      <w:proofErr w:type="spellStart"/>
      <w:r w:rsidRPr="00F615E3">
        <w:rPr>
          <w:rFonts w:ascii="Times New Roman" w:hAnsi="Times New Roman"/>
          <w:i/>
          <w:sz w:val="20"/>
          <w:szCs w:val="20"/>
        </w:rPr>
        <w:t>Openbaar</w:t>
      </w:r>
      <w:proofErr w:type="spellEnd"/>
      <w:r w:rsidRPr="00F615E3">
        <w:rPr>
          <w:rFonts w:ascii="Times New Roman" w:hAnsi="Times New Roman"/>
          <w:i/>
          <w:sz w:val="20"/>
          <w:szCs w:val="20"/>
        </w:rPr>
        <w:t xml:space="preserve"> </w:t>
      </w:r>
      <w:proofErr w:type="spellStart"/>
      <w:r w:rsidRPr="00F615E3">
        <w:rPr>
          <w:rFonts w:ascii="Times New Roman" w:hAnsi="Times New Roman"/>
          <w:i/>
          <w:sz w:val="20"/>
          <w:szCs w:val="20"/>
        </w:rPr>
        <w:t>Ministerie</w:t>
      </w:r>
      <w:proofErr w:type="spellEnd"/>
      <w:r w:rsidRPr="00F615E3">
        <w:rPr>
          <w:rFonts w:ascii="Times New Roman" w:hAnsi="Times New Roman"/>
          <w:i/>
          <w:sz w:val="20"/>
          <w:szCs w:val="20"/>
        </w:rPr>
        <w:t xml:space="preserve"> against Daniel Adam </w:t>
      </w:r>
      <w:proofErr w:type="spellStart"/>
      <w:r w:rsidRPr="00F615E3">
        <w:rPr>
          <w:rFonts w:ascii="Times New Roman" w:hAnsi="Times New Roman"/>
          <w:i/>
          <w:sz w:val="20"/>
          <w:szCs w:val="20"/>
        </w:rPr>
        <w:t>Popławski</w:t>
      </w:r>
      <w:proofErr w:type="spellEnd"/>
      <w:r w:rsidRPr="00924FFD">
        <w:rPr>
          <w:rFonts w:ascii="Times New Roman" w:hAnsi="Times New Roman"/>
          <w:sz w:val="20"/>
          <w:szCs w:val="20"/>
        </w:rPr>
        <w:t>, ECLI:EU:C:2017:116.</w:t>
      </w:r>
    </w:p>
  </w:footnote>
  <w:footnote w:id="32">
    <w:p w14:paraId="7F12759B" w14:textId="77777777" w:rsidR="003D4C37" w:rsidRDefault="003D4C37">
      <w:pPr>
        <w:pStyle w:val="Footnote"/>
        <w:jc w:val="both"/>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en-US"/>
        </w:rPr>
        <w:t xml:space="preserve">Para. 34. </w:t>
      </w:r>
    </w:p>
  </w:footnote>
  <w:footnote w:id="33">
    <w:p w14:paraId="0236C87A" w14:textId="2F29E0F0" w:rsidR="003D4C37" w:rsidRPr="0054102F" w:rsidRDefault="003D4C37" w:rsidP="00737EE1">
      <w:pPr>
        <w:pStyle w:val="FootnoteText"/>
        <w:jc w:val="both"/>
        <w:rPr>
          <w:lang w:val="en-GB"/>
        </w:rPr>
      </w:pPr>
      <w:r>
        <w:rPr>
          <w:rStyle w:val="FootnoteReference"/>
        </w:rPr>
        <w:footnoteRef/>
      </w:r>
      <w:r>
        <w:t xml:space="preserve"> See Report from the Commission based on Article 34 of the Council Framework Decision of 13 June 2002 on the European arrest warrant and the surrender procedures between Member States, COM (2005) 63 final; </w:t>
      </w:r>
      <w:r w:rsidRPr="0074270D">
        <w:t>Report from the Commission based on Article 34 of the Council Framework Decision of 13 June 2002 on the European arrest warrant and the surrender procedures between Member States (revised version)</w:t>
      </w:r>
      <w:r>
        <w:t>, COM (2006) 8 final.</w:t>
      </w:r>
    </w:p>
  </w:footnote>
  <w:footnote w:id="34">
    <w:p w14:paraId="0AB5ABE4" w14:textId="4B267AD3" w:rsidR="003D4C37" w:rsidRPr="00CE3EF3" w:rsidRDefault="003D4C37" w:rsidP="00CE3EF3">
      <w:pPr>
        <w:pStyle w:val="Footnote"/>
        <w:jc w:val="both"/>
        <w:rPr>
          <w:sz w:val="20"/>
          <w:szCs w:val="20"/>
        </w:rPr>
      </w:pPr>
      <w:r w:rsidRPr="00CE3EF3">
        <w:rPr>
          <w:rFonts w:ascii="Times New Roman" w:eastAsia="Times New Roman" w:hAnsi="Times New Roman" w:cs="Times New Roman"/>
          <w:sz w:val="20"/>
          <w:szCs w:val="20"/>
          <w:vertAlign w:val="superscript"/>
        </w:rPr>
        <w:footnoteRef/>
      </w:r>
      <w:r w:rsidRPr="00CE3EF3">
        <w:rPr>
          <w:rFonts w:ascii="Times New Roman" w:hAnsi="Times New Roman"/>
          <w:sz w:val="20"/>
          <w:szCs w:val="20"/>
        </w:rPr>
        <w:t xml:space="preserve"> </w:t>
      </w:r>
      <w:r w:rsidRPr="005015AB">
        <w:rPr>
          <w:rFonts w:ascii="Times New Roman" w:hAnsi="Times New Roman"/>
          <w:sz w:val="20"/>
          <w:szCs w:val="20"/>
        </w:rPr>
        <w:t xml:space="preserve">Order of 15 December 2015, 2 </w:t>
      </w:r>
      <w:proofErr w:type="spellStart"/>
      <w:r w:rsidRPr="005015AB">
        <w:rPr>
          <w:rFonts w:ascii="Times New Roman" w:hAnsi="Times New Roman"/>
          <w:sz w:val="20"/>
          <w:szCs w:val="20"/>
        </w:rPr>
        <w:t>BvR</w:t>
      </w:r>
      <w:proofErr w:type="spellEnd"/>
      <w:r w:rsidRPr="005015AB">
        <w:rPr>
          <w:rFonts w:ascii="Times New Roman" w:hAnsi="Times New Roman"/>
          <w:sz w:val="20"/>
          <w:szCs w:val="20"/>
        </w:rPr>
        <w:t xml:space="preserve"> 2735/14. </w:t>
      </w:r>
      <w:r>
        <w:rPr>
          <w:rFonts w:ascii="Times New Roman" w:hAnsi="Times New Roman"/>
          <w:sz w:val="20"/>
          <w:szCs w:val="20"/>
        </w:rPr>
        <w:t>For an academic appraisal s</w:t>
      </w:r>
      <w:r w:rsidRPr="00CE3EF3">
        <w:rPr>
          <w:rFonts w:ascii="Times New Roman" w:hAnsi="Times New Roman"/>
          <w:sz w:val="20"/>
          <w:szCs w:val="20"/>
        </w:rPr>
        <w:t xml:space="preserve">ee, </w:t>
      </w:r>
      <w:r w:rsidRPr="00CE3EF3">
        <w:rPr>
          <w:rFonts w:ascii="Times New Roman" w:hAnsi="Times New Roman"/>
          <w:i/>
          <w:sz w:val="20"/>
          <w:szCs w:val="20"/>
        </w:rPr>
        <w:t>inter alia</w:t>
      </w:r>
      <w:r w:rsidRPr="00CE3EF3">
        <w:rPr>
          <w:rFonts w:ascii="Times New Roman" w:hAnsi="Times New Roman"/>
          <w:sz w:val="20"/>
          <w:szCs w:val="20"/>
        </w:rPr>
        <w:t xml:space="preserve">, F. Meyer, </w:t>
      </w:r>
      <w:r w:rsidRPr="00CE3EF3">
        <w:rPr>
          <w:rFonts w:ascii="Times New Roman" w:hAnsi="Times New Roman"/>
          <w:i/>
          <w:sz w:val="20"/>
          <w:szCs w:val="20"/>
        </w:rPr>
        <w:t>From Solange II to Forever I’ the German Federal Constitutional Court and the European Arrest Warrant (and How the CJEU Responded)</w:t>
      </w:r>
      <w:r>
        <w:rPr>
          <w:rFonts w:ascii="Times New Roman" w:hAnsi="Times New Roman"/>
          <w:sz w:val="20"/>
          <w:szCs w:val="20"/>
        </w:rPr>
        <w:t xml:space="preserve">, 7 NJECL (2016) </w:t>
      </w:r>
      <w:r w:rsidRPr="00CE3EF3">
        <w:rPr>
          <w:rFonts w:ascii="Times New Roman" w:hAnsi="Times New Roman"/>
          <w:sz w:val="20"/>
          <w:szCs w:val="20"/>
        </w:rPr>
        <w:t>pp. 277–294</w:t>
      </w:r>
      <w:r>
        <w:rPr>
          <w:rFonts w:ascii="Times New Roman" w:hAnsi="Times New Roman"/>
          <w:sz w:val="20"/>
          <w:szCs w:val="20"/>
        </w:rPr>
        <w:t xml:space="preserve">; M. Hong, </w:t>
      </w:r>
      <w:r w:rsidRPr="00656D63">
        <w:rPr>
          <w:rFonts w:ascii="Times New Roman" w:hAnsi="Times New Roman"/>
          <w:i/>
          <w:sz w:val="20"/>
          <w:szCs w:val="20"/>
        </w:rPr>
        <w:t xml:space="preserve">Human dignity, identity review of the European Arrest Warrant and the Court of Justice as a listener in the dialogue of courts, Solange-III and </w:t>
      </w:r>
      <w:proofErr w:type="spellStart"/>
      <w:r w:rsidRPr="00656D63">
        <w:rPr>
          <w:rFonts w:ascii="Times New Roman" w:hAnsi="Times New Roman"/>
          <w:i/>
          <w:sz w:val="20"/>
          <w:szCs w:val="20"/>
        </w:rPr>
        <w:t>Aranyosi</w:t>
      </w:r>
      <w:proofErr w:type="spellEnd"/>
      <w:r w:rsidRPr="00656D63">
        <w:rPr>
          <w:rFonts w:ascii="Times New Roman" w:hAnsi="Times New Roman"/>
          <w:i/>
          <w:sz w:val="20"/>
          <w:szCs w:val="20"/>
        </w:rPr>
        <w:t xml:space="preserve"> : </w:t>
      </w:r>
      <w:proofErr w:type="spellStart"/>
      <w:r w:rsidRPr="00656D63">
        <w:rPr>
          <w:rFonts w:ascii="Times New Roman" w:hAnsi="Times New Roman"/>
          <w:i/>
          <w:sz w:val="20"/>
          <w:szCs w:val="20"/>
        </w:rPr>
        <w:t>BVerfG</w:t>
      </w:r>
      <w:proofErr w:type="spellEnd"/>
      <w:r w:rsidRPr="00656D63">
        <w:rPr>
          <w:rFonts w:ascii="Times New Roman" w:hAnsi="Times New Roman"/>
          <w:i/>
          <w:sz w:val="20"/>
          <w:szCs w:val="20"/>
        </w:rPr>
        <w:t xml:space="preserve"> 15 December 2015, 2 </w:t>
      </w:r>
      <w:proofErr w:type="spellStart"/>
      <w:r w:rsidRPr="00656D63">
        <w:rPr>
          <w:rFonts w:ascii="Times New Roman" w:hAnsi="Times New Roman"/>
          <w:i/>
          <w:sz w:val="20"/>
          <w:szCs w:val="20"/>
        </w:rPr>
        <w:t>BvR</w:t>
      </w:r>
      <w:proofErr w:type="spellEnd"/>
      <w:r w:rsidRPr="00656D63">
        <w:rPr>
          <w:rFonts w:ascii="Times New Roman" w:hAnsi="Times New Roman"/>
          <w:i/>
          <w:sz w:val="20"/>
          <w:szCs w:val="20"/>
        </w:rPr>
        <w:t xml:space="preserve"> 2735/14, Solange III, and ECJ (Grand Chamber) 5 April 2016, joined cases C-404/15 and C-659/15 PPU, </w:t>
      </w:r>
      <w:proofErr w:type="spellStart"/>
      <w:r w:rsidRPr="00656D63">
        <w:rPr>
          <w:rFonts w:ascii="Times New Roman" w:hAnsi="Times New Roman"/>
          <w:i/>
          <w:sz w:val="20"/>
          <w:szCs w:val="20"/>
        </w:rPr>
        <w:t>Aranyosi</w:t>
      </w:r>
      <w:proofErr w:type="spellEnd"/>
      <w:r w:rsidRPr="00656D63">
        <w:rPr>
          <w:rFonts w:ascii="Times New Roman" w:hAnsi="Times New Roman"/>
          <w:i/>
          <w:sz w:val="20"/>
          <w:szCs w:val="20"/>
        </w:rPr>
        <w:t xml:space="preserve"> and </w:t>
      </w:r>
      <w:proofErr w:type="spellStart"/>
      <w:r w:rsidRPr="00656D63">
        <w:rPr>
          <w:rFonts w:ascii="Times New Roman" w:hAnsi="Times New Roman"/>
          <w:i/>
          <w:sz w:val="20"/>
          <w:szCs w:val="20"/>
        </w:rPr>
        <w:t>Căldăraru</w:t>
      </w:r>
      <w:proofErr w:type="spellEnd"/>
      <w:r>
        <w:rPr>
          <w:rFonts w:ascii="Times New Roman" w:hAnsi="Times New Roman"/>
          <w:sz w:val="20"/>
          <w:szCs w:val="20"/>
        </w:rPr>
        <w:t xml:space="preserve">, 12 </w:t>
      </w:r>
      <w:proofErr w:type="spellStart"/>
      <w:r>
        <w:rPr>
          <w:rFonts w:ascii="Times New Roman" w:hAnsi="Times New Roman"/>
          <w:sz w:val="20"/>
          <w:szCs w:val="20"/>
        </w:rPr>
        <w:t>EUConst</w:t>
      </w:r>
      <w:proofErr w:type="spellEnd"/>
      <w:r>
        <w:rPr>
          <w:rFonts w:ascii="Times New Roman" w:hAnsi="Times New Roman"/>
          <w:sz w:val="20"/>
          <w:szCs w:val="20"/>
        </w:rPr>
        <w:t xml:space="preserve"> (2016) pp. </w:t>
      </w:r>
      <w:r w:rsidRPr="00656D63">
        <w:rPr>
          <w:rFonts w:ascii="Times New Roman" w:hAnsi="Times New Roman"/>
          <w:sz w:val="20"/>
          <w:szCs w:val="20"/>
        </w:rPr>
        <w:t>549-563</w:t>
      </w:r>
      <w:r>
        <w:rPr>
          <w:rFonts w:ascii="Times New Roman" w:hAnsi="Times New Roman"/>
          <w:sz w:val="20"/>
          <w:szCs w:val="20"/>
        </w:rPr>
        <w:t>.</w:t>
      </w:r>
    </w:p>
  </w:footnote>
  <w:footnote w:id="35">
    <w:p w14:paraId="614EEC91" w14:textId="452891C4" w:rsidR="00FF1B39" w:rsidRPr="00FF1B39" w:rsidRDefault="00FF1B39" w:rsidP="00FF1B39">
      <w:pPr>
        <w:pStyle w:val="FootnoteText"/>
        <w:jc w:val="both"/>
      </w:pPr>
      <w:r>
        <w:rPr>
          <w:rStyle w:val="FootnoteReference"/>
        </w:rPr>
        <w:footnoteRef/>
      </w:r>
      <w:r>
        <w:t xml:space="preserve"> In the early case-law see </w:t>
      </w:r>
      <w:r w:rsidRPr="00FF1B39">
        <w:t xml:space="preserve">Case C-396/11 </w:t>
      </w:r>
      <w:proofErr w:type="spellStart"/>
      <w:r w:rsidRPr="00FF1B39">
        <w:rPr>
          <w:i/>
        </w:rPr>
        <w:t>Ciprian</w:t>
      </w:r>
      <w:proofErr w:type="spellEnd"/>
      <w:r w:rsidRPr="00FF1B39">
        <w:rPr>
          <w:i/>
        </w:rPr>
        <w:t xml:space="preserve"> </w:t>
      </w:r>
      <w:proofErr w:type="spellStart"/>
      <w:r w:rsidRPr="00FF1B39">
        <w:rPr>
          <w:i/>
        </w:rPr>
        <w:t>Vasile</w:t>
      </w:r>
      <w:proofErr w:type="spellEnd"/>
      <w:r w:rsidRPr="00FF1B39">
        <w:rPr>
          <w:i/>
        </w:rPr>
        <w:t xml:space="preserve"> Radu</w:t>
      </w:r>
      <w:r>
        <w:t xml:space="preserve">, ECLI:EU:C:2013:39 and, especially, Opinion of Advocate General </w:t>
      </w:r>
      <w:proofErr w:type="spellStart"/>
      <w:r>
        <w:t>Sharpston</w:t>
      </w:r>
      <w:proofErr w:type="spellEnd"/>
      <w:r>
        <w:t xml:space="preserve"> Case C‑396/11 </w:t>
      </w:r>
      <w:proofErr w:type="spellStart"/>
      <w:r w:rsidRPr="00FF1B39">
        <w:rPr>
          <w:i/>
        </w:rPr>
        <w:t>Ministerul</w:t>
      </w:r>
      <w:proofErr w:type="spellEnd"/>
      <w:r w:rsidRPr="00FF1B39">
        <w:rPr>
          <w:i/>
        </w:rPr>
        <w:t xml:space="preserve"> Public – </w:t>
      </w:r>
      <w:proofErr w:type="spellStart"/>
      <w:r w:rsidRPr="00FF1B39">
        <w:rPr>
          <w:i/>
        </w:rPr>
        <w:t>Parchetul</w:t>
      </w:r>
      <w:proofErr w:type="spellEnd"/>
      <w:r w:rsidRPr="00FF1B39">
        <w:rPr>
          <w:i/>
        </w:rPr>
        <w:t xml:space="preserve"> de </w:t>
      </w:r>
      <w:proofErr w:type="spellStart"/>
      <w:r w:rsidRPr="00FF1B39">
        <w:rPr>
          <w:i/>
        </w:rPr>
        <w:t>pe</w:t>
      </w:r>
      <w:proofErr w:type="spellEnd"/>
      <w:r w:rsidRPr="00FF1B39">
        <w:rPr>
          <w:i/>
        </w:rPr>
        <w:t xml:space="preserve"> </w:t>
      </w:r>
      <w:proofErr w:type="spellStart"/>
      <w:r w:rsidRPr="00FF1B39">
        <w:rPr>
          <w:i/>
        </w:rPr>
        <w:t>lângă</w:t>
      </w:r>
      <w:proofErr w:type="spellEnd"/>
      <w:r w:rsidRPr="00FF1B39">
        <w:rPr>
          <w:i/>
        </w:rPr>
        <w:t xml:space="preserve"> </w:t>
      </w:r>
      <w:proofErr w:type="spellStart"/>
      <w:r w:rsidRPr="00FF1B39">
        <w:rPr>
          <w:i/>
        </w:rPr>
        <w:t>Curtea</w:t>
      </w:r>
      <w:proofErr w:type="spellEnd"/>
      <w:r w:rsidRPr="00FF1B39">
        <w:rPr>
          <w:i/>
        </w:rPr>
        <w:t xml:space="preserve"> de </w:t>
      </w:r>
      <w:proofErr w:type="spellStart"/>
      <w:r w:rsidRPr="00FF1B39">
        <w:rPr>
          <w:i/>
        </w:rPr>
        <w:t>Apel</w:t>
      </w:r>
      <w:proofErr w:type="spellEnd"/>
      <w:r w:rsidRPr="00FF1B39">
        <w:rPr>
          <w:i/>
        </w:rPr>
        <w:t xml:space="preserve"> </w:t>
      </w:r>
      <w:proofErr w:type="spellStart"/>
      <w:r w:rsidRPr="00FF1B39">
        <w:rPr>
          <w:i/>
        </w:rPr>
        <w:t>Constanţa</w:t>
      </w:r>
      <w:proofErr w:type="spellEnd"/>
      <w:r w:rsidRPr="00FF1B39">
        <w:rPr>
          <w:i/>
        </w:rPr>
        <w:t xml:space="preserve"> v </w:t>
      </w:r>
      <w:proofErr w:type="spellStart"/>
      <w:r w:rsidRPr="00FF1B39">
        <w:rPr>
          <w:i/>
        </w:rPr>
        <w:t>Ciprian</w:t>
      </w:r>
      <w:proofErr w:type="spellEnd"/>
      <w:r w:rsidRPr="00FF1B39">
        <w:rPr>
          <w:i/>
        </w:rPr>
        <w:t xml:space="preserve"> </w:t>
      </w:r>
      <w:proofErr w:type="spellStart"/>
      <w:r w:rsidRPr="00FF1B39">
        <w:rPr>
          <w:i/>
        </w:rPr>
        <w:t>Vasile</w:t>
      </w:r>
      <w:proofErr w:type="spellEnd"/>
      <w:r w:rsidRPr="00FF1B39">
        <w:rPr>
          <w:i/>
        </w:rPr>
        <w:t xml:space="preserve"> Radu</w:t>
      </w:r>
      <w:r>
        <w:t xml:space="preserve">, </w:t>
      </w:r>
      <w:r w:rsidRPr="00FF1B39">
        <w:t>ECLI:EU:C:2012:648</w:t>
      </w:r>
      <w:r>
        <w:t>.</w:t>
      </w:r>
    </w:p>
  </w:footnote>
  <w:footnote w:id="36">
    <w:p w14:paraId="4F1F89D9" w14:textId="586FC648" w:rsidR="003D4C37" w:rsidRPr="000A768D" w:rsidRDefault="003D4C37" w:rsidP="006148DB">
      <w:pPr>
        <w:pStyle w:val="FootnoteText"/>
        <w:jc w:val="both"/>
        <w:rPr>
          <w:lang w:val="en-GB"/>
        </w:rPr>
      </w:pPr>
      <w:r>
        <w:rPr>
          <w:rStyle w:val="FootnoteReference"/>
        </w:rPr>
        <w:footnoteRef/>
      </w:r>
      <w:r>
        <w:t xml:space="preserve"> </w:t>
      </w:r>
      <w:r w:rsidRPr="006148DB">
        <w:t>Case C-216/18 PPU</w:t>
      </w:r>
      <w:r>
        <w:t xml:space="preserve"> </w:t>
      </w:r>
      <w:r w:rsidRPr="00495E77">
        <w:rPr>
          <w:i/>
        </w:rPr>
        <w:t>LM</w:t>
      </w:r>
      <w:r>
        <w:t xml:space="preserve">, </w:t>
      </w:r>
      <w:r w:rsidRPr="00495E77">
        <w:t>ECLI:EU:C:2018:586</w:t>
      </w:r>
      <w:r>
        <w:t>.</w:t>
      </w:r>
    </w:p>
  </w:footnote>
  <w:footnote w:id="37">
    <w:p w14:paraId="024DFE05" w14:textId="58F54B73" w:rsidR="003D4C37" w:rsidRPr="000A768D" w:rsidRDefault="003D4C37" w:rsidP="00495E77">
      <w:pPr>
        <w:pStyle w:val="FootnoteText"/>
        <w:jc w:val="both"/>
        <w:rPr>
          <w:lang w:val="en-GB"/>
        </w:rPr>
      </w:pPr>
      <w:r>
        <w:rPr>
          <w:rStyle w:val="FootnoteReference"/>
        </w:rPr>
        <w:footnoteRef/>
      </w:r>
      <w:r>
        <w:t xml:space="preserve"> Case </w:t>
      </w:r>
      <w:r w:rsidRPr="00495E77">
        <w:t xml:space="preserve">C-220/18PPU </w:t>
      </w:r>
      <w:r w:rsidRPr="00495E77">
        <w:rPr>
          <w:i/>
        </w:rPr>
        <w:t>ML</w:t>
      </w:r>
      <w:r>
        <w:t xml:space="preserve">, </w:t>
      </w:r>
      <w:r w:rsidRPr="00495E77">
        <w:t>ECLI:EU:C:2018:589</w:t>
      </w:r>
      <w:r>
        <w:t>.</w:t>
      </w:r>
    </w:p>
  </w:footnote>
  <w:footnote w:id="38">
    <w:p w14:paraId="6A477D29" w14:textId="3052A45C" w:rsidR="003D4C37" w:rsidRPr="000A768D" w:rsidRDefault="003D4C37" w:rsidP="00495E77">
      <w:pPr>
        <w:pStyle w:val="FootnoteText"/>
        <w:jc w:val="both"/>
        <w:rPr>
          <w:lang w:val="en-GB"/>
        </w:rPr>
      </w:pPr>
      <w:r>
        <w:rPr>
          <w:rStyle w:val="FootnoteReference"/>
        </w:rPr>
        <w:footnoteRef/>
      </w:r>
      <w:r>
        <w:t xml:space="preserve"> Case </w:t>
      </w:r>
      <w:r w:rsidRPr="00495E77">
        <w:t xml:space="preserve">C-327/18PPU </w:t>
      </w:r>
      <w:r w:rsidRPr="00495E77">
        <w:rPr>
          <w:i/>
        </w:rPr>
        <w:t>RO</w:t>
      </w:r>
      <w:r>
        <w:t xml:space="preserve">, </w:t>
      </w:r>
      <w:r w:rsidRPr="00CA3237">
        <w:t>ECLI:EU:C:2018:733</w:t>
      </w:r>
      <w:r>
        <w:t>.</w:t>
      </w:r>
    </w:p>
  </w:footnote>
  <w:footnote w:id="39">
    <w:p w14:paraId="5E8ACF40" w14:textId="11CBEFDA" w:rsidR="003D4C37" w:rsidRPr="005C0FC6" w:rsidRDefault="003D4C37" w:rsidP="00F95974">
      <w:pPr>
        <w:pStyle w:val="FootnoteText"/>
        <w:jc w:val="both"/>
        <w:rPr>
          <w:lang w:val="en-GB"/>
        </w:rPr>
      </w:pPr>
      <w:r>
        <w:rPr>
          <w:rStyle w:val="FootnoteReference"/>
        </w:rPr>
        <w:footnoteRef/>
      </w:r>
      <w:r>
        <w:t xml:space="preserve"> </w:t>
      </w:r>
      <w:r>
        <w:rPr>
          <w:lang w:val="en-GB"/>
        </w:rPr>
        <w:t xml:space="preserve">See, </w:t>
      </w:r>
      <w:r w:rsidRPr="00762646">
        <w:rPr>
          <w:i/>
          <w:lang w:val="en-GB"/>
        </w:rPr>
        <w:t>inter alia</w:t>
      </w:r>
      <w:r>
        <w:rPr>
          <w:lang w:val="en-GB"/>
        </w:rPr>
        <w:t xml:space="preserve">, A. </w:t>
      </w:r>
      <w:proofErr w:type="spellStart"/>
      <w:r w:rsidRPr="007A2B7B">
        <w:t>Łazowski</w:t>
      </w:r>
      <w:proofErr w:type="spellEnd"/>
      <w:r>
        <w:rPr>
          <w:lang w:val="en-GB"/>
        </w:rPr>
        <w:t xml:space="preserve">, S. Nash, </w:t>
      </w:r>
      <w:r w:rsidRPr="00F95974">
        <w:rPr>
          <w:i/>
          <w:lang w:val="en-GB"/>
        </w:rPr>
        <w:t>Detention</w:t>
      </w:r>
      <w:r>
        <w:rPr>
          <w:lang w:val="en-GB"/>
        </w:rPr>
        <w:t xml:space="preserve">, in: </w:t>
      </w:r>
      <w:r w:rsidRPr="00762646">
        <w:rPr>
          <w:lang w:val="en-GB"/>
        </w:rPr>
        <w:t xml:space="preserve">N. </w:t>
      </w:r>
      <w:proofErr w:type="spellStart"/>
      <w:r w:rsidRPr="00762646">
        <w:rPr>
          <w:lang w:val="en-GB"/>
        </w:rPr>
        <w:t>Keijzer</w:t>
      </w:r>
      <w:proofErr w:type="spellEnd"/>
      <w:r w:rsidRPr="00762646">
        <w:rPr>
          <w:lang w:val="en-GB"/>
        </w:rPr>
        <w:t xml:space="preserve">, E. van </w:t>
      </w:r>
      <w:proofErr w:type="spellStart"/>
      <w:r w:rsidRPr="00762646">
        <w:rPr>
          <w:lang w:val="en-GB"/>
        </w:rPr>
        <w:t>Sliedregt</w:t>
      </w:r>
      <w:proofErr w:type="spellEnd"/>
      <w:r>
        <w:rPr>
          <w:lang w:val="en-GB"/>
        </w:rPr>
        <w:t xml:space="preserve"> (</w:t>
      </w:r>
      <w:proofErr w:type="spellStart"/>
      <w:r>
        <w:rPr>
          <w:lang w:val="en-GB"/>
        </w:rPr>
        <w:t>eds</w:t>
      </w:r>
      <w:proofErr w:type="spellEnd"/>
      <w:r>
        <w:rPr>
          <w:lang w:val="en-GB"/>
        </w:rPr>
        <w:t>)</w:t>
      </w:r>
      <w:r w:rsidRPr="00762646">
        <w:rPr>
          <w:lang w:val="en-GB"/>
        </w:rPr>
        <w:t xml:space="preserve">, </w:t>
      </w:r>
      <w:r w:rsidRPr="00762646">
        <w:rPr>
          <w:i/>
          <w:lang w:val="en-GB"/>
        </w:rPr>
        <w:t>The European Arrest Warrant in Practice</w:t>
      </w:r>
      <w:r w:rsidRPr="00762646">
        <w:rPr>
          <w:lang w:val="en-GB"/>
        </w:rPr>
        <w:t>, The Hague 2009, pp.</w:t>
      </w:r>
      <w:r>
        <w:rPr>
          <w:lang w:val="en-GB"/>
        </w:rPr>
        <w:t xml:space="preserve"> 33-50.</w:t>
      </w:r>
    </w:p>
  </w:footnote>
  <w:footnote w:id="40">
    <w:p w14:paraId="76900CD0" w14:textId="77777777" w:rsidR="003D4C37" w:rsidRPr="00281B97" w:rsidRDefault="003D4C37">
      <w:pPr>
        <w:pStyle w:val="FootnoteText"/>
        <w:rPr>
          <w:lang w:val="en-GB"/>
        </w:rPr>
      </w:pPr>
      <w:r>
        <w:rPr>
          <w:rStyle w:val="FootnoteReference"/>
        </w:rPr>
        <w:footnoteRef/>
      </w:r>
      <w:r>
        <w:t xml:space="preserve"> </w:t>
      </w:r>
      <w:r>
        <w:rPr>
          <w:lang w:val="en-GB"/>
        </w:rPr>
        <w:t>Para. 104 of the judgment.</w:t>
      </w:r>
    </w:p>
  </w:footnote>
  <w:footnote w:id="41">
    <w:p w14:paraId="0F48873C" w14:textId="77777777" w:rsidR="003D4C37" w:rsidRPr="00263F76" w:rsidRDefault="003D4C37">
      <w:pPr>
        <w:pStyle w:val="FootnoteText"/>
        <w:rPr>
          <w:lang w:val="en-GB"/>
        </w:rPr>
      </w:pPr>
      <w:r>
        <w:rPr>
          <w:rStyle w:val="FootnoteReference"/>
        </w:rPr>
        <w:footnoteRef/>
      </w:r>
      <w:r>
        <w:t xml:space="preserve"> </w:t>
      </w:r>
      <w:r>
        <w:rPr>
          <w:lang w:val="en-GB"/>
        </w:rPr>
        <w:t xml:space="preserve">Para. 77 of the judgment. </w:t>
      </w:r>
    </w:p>
  </w:footnote>
  <w:footnote w:id="42">
    <w:p w14:paraId="34FE0DA2" w14:textId="6AB9B907" w:rsidR="003D4C37" w:rsidRPr="00003648" w:rsidRDefault="003D4C37" w:rsidP="00161F21">
      <w:pPr>
        <w:pStyle w:val="FootnoteText"/>
        <w:jc w:val="both"/>
        <w:rPr>
          <w:lang w:val="en-GB"/>
        </w:rPr>
      </w:pPr>
      <w:r>
        <w:rPr>
          <w:rStyle w:val="FootnoteReference"/>
        </w:rPr>
        <w:footnoteRef/>
      </w:r>
      <w:r>
        <w:t xml:space="preserve"> </w:t>
      </w:r>
      <w:r>
        <w:rPr>
          <w:lang w:val="en-GB"/>
        </w:rPr>
        <w:t xml:space="preserve">For an academic appraisal of Article 4 of the Charter see, </w:t>
      </w:r>
      <w:r w:rsidRPr="00161F21">
        <w:rPr>
          <w:i/>
          <w:lang w:val="en-GB"/>
        </w:rPr>
        <w:t>inter alia</w:t>
      </w:r>
      <w:r>
        <w:rPr>
          <w:lang w:val="en-GB"/>
        </w:rPr>
        <w:t xml:space="preserve">, M. Nowak, A. </w:t>
      </w:r>
      <w:proofErr w:type="spellStart"/>
      <w:r>
        <w:rPr>
          <w:lang w:val="en-GB"/>
        </w:rPr>
        <w:t>Charbord</w:t>
      </w:r>
      <w:proofErr w:type="spellEnd"/>
      <w:r>
        <w:rPr>
          <w:lang w:val="en-GB"/>
        </w:rPr>
        <w:t xml:space="preserve">, </w:t>
      </w:r>
      <w:r w:rsidRPr="006653BD">
        <w:rPr>
          <w:i/>
          <w:lang w:val="en-GB"/>
        </w:rPr>
        <w:t>Article 4</w:t>
      </w:r>
      <w:r>
        <w:rPr>
          <w:lang w:val="en-GB"/>
        </w:rPr>
        <w:t>, in S. Peers, T. Hervey, J. Kenner, A. Ward (</w:t>
      </w:r>
      <w:proofErr w:type="spellStart"/>
      <w:r>
        <w:rPr>
          <w:lang w:val="en-GB"/>
        </w:rPr>
        <w:t>eds</w:t>
      </w:r>
      <w:proofErr w:type="spellEnd"/>
      <w:r>
        <w:rPr>
          <w:lang w:val="en-GB"/>
        </w:rPr>
        <w:t xml:space="preserve">), </w:t>
      </w:r>
      <w:r w:rsidRPr="006653BD">
        <w:rPr>
          <w:i/>
          <w:lang w:val="en-GB"/>
        </w:rPr>
        <w:t>The EU Charter of Fundamental Rights. A Commentary</w:t>
      </w:r>
      <w:r>
        <w:rPr>
          <w:lang w:val="en-GB"/>
        </w:rPr>
        <w:t>, Oxford and Portland, Oregon 2014, pp. 61-99.</w:t>
      </w:r>
    </w:p>
  </w:footnote>
  <w:footnote w:id="43">
    <w:p w14:paraId="653C1D95" w14:textId="4F8522CE" w:rsidR="003D4C37" w:rsidRPr="00291A8B" w:rsidRDefault="003D4C37" w:rsidP="000A281B">
      <w:pPr>
        <w:pStyle w:val="FootnoteText"/>
        <w:jc w:val="both"/>
        <w:rPr>
          <w:lang w:val="en-GB"/>
        </w:rPr>
      </w:pPr>
      <w:r>
        <w:rPr>
          <w:rStyle w:val="FootnoteReference"/>
        </w:rPr>
        <w:footnoteRef/>
      </w:r>
      <w:r>
        <w:t xml:space="preserve"> See further, </w:t>
      </w:r>
      <w:r w:rsidRPr="00912362">
        <w:rPr>
          <w:i/>
        </w:rPr>
        <w:t>inter alia</w:t>
      </w:r>
      <w:r>
        <w:t xml:space="preserve">, A. Ward, </w:t>
      </w:r>
      <w:r w:rsidRPr="002D75FB">
        <w:rPr>
          <w:i/>
        </w:rPr>
        <w:t>Article 51</w:t>
      </w:r>
      <w:r>
        <w:t xml:space="preserve">, </w:t>
      </w:r>
      <w:r w:rsidRPr="00BD578C">
        <w:t>in S. Peers, T. Hervey, J. Kenner, A. Ward (</w:t>
      </w:r>
      <w:proofErr w:type="spellStart"/>
      <w:r w:rsidRPr="00BD578C">
        <w:t>eds</w:t>
      </w:r>
      <w:proofErr w:type="spellEnd"/>
      <w:r w:rsidRPr="00BD578C">
        <w:t xml:space="preserve">), </w:t>
      </w:r>
      <w:r w:rsidRPr="00BD578C">
        <w:rPr>
          <w:i/>
        </w:rPr>
        <w:t>The EU Charter of Fundamental Rights. A Commentary</w:t>
      </w:r>
      <w:r w:rsidRPr="00BD578C">
        <w:t xml:space="preserve">, Oxford and Portland, Oregon 2014, pp. </w:t>
      </w:r>
      <w:r>
        <w:t>1413-1454.</w:t>
      </w:r>
    </w:p>
  </w:footnote>
  <w:footnote w:id="44">
    <w:p w14:paraId="14011270" w14:textId="3FB24512" w:rsidR="00883B58" w:rsidRPr="00883B58" w:rsidRDefault="00883B58" w:rsidP="00883B58">
      <w:pPr>
        <w:pStyle w:val="FootnoteText"/>
        <w:jc w:val="both"/>
      </w:pPr>
      <w:r>
        <w:rPr>
          <w:rStyle w:val="FootnoteReference"/>
        </w:rPr>
        <w:footnoteRef/>
      </w:r>
      <w:r>
        <w:t xml:space="preserve"> See also Opinion of Advocate General </w:t>
      </w:r>
      <w:proofErr w:type="spellStart"/>
      <w:r>
        <w:t>Sharpston</w:t>
      </w:r>
      <w:proofErr w:type="spellEnd"/>
      <w:r>
        <w:t xml:space="preserve"> Case C‑396/11 </w:t>
      </w:r>
      <w:proofErr w:type="spellStart"/>
      <w:r w:rsidRPr="00FF1B39">
        <w:rPr>
          <w:i/>
        </w:rPr>
        <w:t>Ministerul</w:t>
      </w:r>
      <w:proofErr w:type="spellEnd"/>
      <w:r w:rsidRPr="00FF1B39">
        <w:rPr>
          <w:i/>
        </w:rPr>
        <w:t xml:space="preserve"> Public – </w:t>
      </w:r>
      <w:proofErr w:type="spellStart"/>
      <w:r w:rsidRPr="00FF1B39">
        <w:rPr>
          <w:i/>
        </w:rPr>
        <w:t>Parchetul</w:t>
      </w:r>
      <w:proofErr w:type="spellEnd"/>
      <w:r w:rsidRPr="00FF1B39">
        <w:rPr>
          <w:i/>
        </w:rPr>
        <w:t xml:space="preserve"> de </w:t>
      </w:r>
      <w:proofErr w:type="spellStart"/>
      <w:r w:rsidRPr="00FF1B39">
        <w:rPr>
          <w:i/>
        </w:rPr>
        <w:t>pe</w:t>
      </w:r>
      <w:proofErr w:type="spellEnd"/>
      <w:r w:rsidRPr="00FF1B39">
        <w:rPr>
          <w:i/>
        </w:rPr>
        <w:t xml:space="preserve"> </w:t>
      </w:r>
      <w:proofErr w:type="spellStart"/>
      <w:r w:rsidRPr="00FF1B39">
        <w:rPr>
          <w:i/>
        </w:rPr>
        <w:t>lângă</w:t>
      </w:r>
      <w:proofErr w:type="spellEnd"/>
      <w:r w:rsidRPr="00FF1B39">
        <w:rPr>
          <w:i/>
        </w:rPr>
        <w:t xml:space="preserve"> </w:t>
      </w:r>
      <w:proofErr w:type="spellStart"/>
      <w:r w:rsidRPr="00FF1B39">
        <w:rPr>
          <w:i/>
        </w:rPr>
        <w:t>Curtea</w:t>
      </w:r>
      <w:proofErr w:type="spellEnd"/>
      <w:r w:rsidRPr="00FF1B39">
        <w:rPr>
          <w:i/>
        </w:rPr>
        <w:t xml:space="preserve"> de </w:t>
      </w:r>
      <w:proofErr w:type="spellStart"/>
      <w:r w:rsidRPr="00FF1B39">
        <w:rPr>
          <w:i/>
        </w:rPr>
        <w:t>Apel</w:t>
      </w:r>
      <w:proofErr w:type="spellEnd"/>
      <w:r w:rsidRPr="00FF1B39">
        <w:rPr>
          <w:i/>
        </w:rPr>
        <w:t xml:space="preserve"> </w:t>
      </w:r>
      <w:proofErr w:type="spellStart"/>
      <w:r w:rsidRPr="00FF1B39">
        <w:rPr>
          <w:i/>
        </w:rPr>
        <w:t>Constanţa</w:t>
      </w:r>
      <w:proofErr w:type="spellEnd"/>
      <w:r w:rsidRPr="00FF1B39">
        <w:rPr>
          <w:i/>
        </w:rPr>
        <w:t xml:space="preserve"> v </w:t>
      </w:r>
      <w:proofErr w:type="spellStart"/>
      <w:r w:rsidRPr="00FF1B39">
        <w:rPr>
          <w:i/>
        </w:rPr>
        <w:t>Ciprian</w:t>
      </w:r>
      <w:proofErr w:type="spellEnd"/>
      <w:r w:rsidRPr="00FF1B39">
        <w:rPr>
          <w:i/>
        </w:rPr>
        <w:t xml:space="preserve"> </w:t>
      </w:r>
      <w:proofErr w:type="spellStart"/>
      <w:r w:rsidRPr="00FF1B39">
        <w:rPr>
          <w:i/>
        </w:rPr>
        <w:t>Vasile</w:t>
      </w:r>
      <w:proofErr w:type="spellEnd"/>
      <w:r w:rsidRPr="00FF1B39">
        <w:rPr>
          <w:i/>
        </w:rPr>
        <w:t xml:space="preserve"> Radu</w:t>
      </w:r>
      <w:r>
        <w:t xml:space="preserve">, </w:t>
      </w:r>
      <w:r w:rsidRPr="00FF1B39">
        <w:t>ECLI:EU:C:2012:648</w:t>
      </w:r>
      <w:r>
        <w:t>.</w:t>
      </w:r>
    </w:p>
  </w:footnote>
  <w:footnote w:id="45">
    <w:p w14:paraId="65D2D831" w14:textId="06CB98DD" w:rsidR="003D4C37" w:rsidRPr="000A281B" w:rsidRDefault="003D4C37" w:rsidP="000A281B">
      <w:pPr>
        <w:pStyle w:val="FootnoteText"/>
        <w:jc w:val="both"/>
        <w:rPr>
          <w:lang w:val="en-GB"/>
        </w:rPr>
      </w:pPr>
      <w:r>
        <w:rPr>
          <w:rStyle w:val="FootnoteReference"/>
        </w:rPr>
        <w:footnoteRef/>
      </w:r>
      <w:r>
        <w:t xml:space="preserve"> For an academic appraisal of advocates general and their role at the Court of Justice see, </w:t>
      </w:r>
      <w:r w:rsidRPr="00DF19CB">
        <w:rPr>
          <w:i/>
        </w:rPr>
        <w:t>exempli gratia</w:t>
      </w:r>
      <w:r>
        <w:t xml:space="preserve">, N. Burrows and R. Graves, </w:t>
      </w:r>
      <w:r w:rsidRPr="001F0BE4">
        <w:rPr>
          <w:rFonts w:ascii="Times New Roman Italic" w:hAnsi="Times New Roman Italic"/>
          <w:i/>
        </w:rPr>
        <w:t>The Advocate General and EC Law</w:t>
      </w:r>
      <w:r>
        <w:rPr>
          <w:rFonts w:ascii="Times New Roman Italic" w:hAnsi="Times New Roman Italic"/>
        </w:rPr>
        <w:t>,</w:t>
      </w:r>
      <w:r>
        <w:t xml:space="preserve"> Oxford University Press, Oxford 2007. </w:t>
      </w:r>
    </w:p>
  </w:footnote>
  <w:footnote w:id="46">
    <w:p w14:paraId="7121CA68" w14:textId="1C75E4A6" w:rsidR="006D61B0" w:rsidRPr="006D61B0" w:rsidRDefault="006D61B0">
      <w:pPr>
        <w:pStyle w:val="FootnoteText"/>
      </w:pPr>
      <w:r>
        <w:rPr>
          <w:rStyle w:val="FootnoteReference"/>
        </w:rPr>
        <w:footnoteRef/>
      </w:r>
      <w:r>
        <w:t xml:space="preserve"> </w:t>
      </w:r>
      <w:r w:rsidR="00022310" w:rsidRPr="00022310">
        <w:t>Complete Works of Voltaire, Volume 12, Part 1</w:t>
      </w:r>
      <w:r w:rsidR="00022310">
        <w:t>.</w:t>
      </w:r>
    </w:p>
  </w:footnote>
  <w:footnote w:id="47">
    <w:p w14:paraId="101AD27D" w14:textId="14807AC2" w:rsidR="003D4C37" w:rsidRPr="00404A35" w:rsidRDefault="003D4C37" w:rsidP="006653BD">
      <w:pPr>
        <w:pStyle w:val="FootnoteText"/>
        <w:jc w:val="both"/>
        <w:rPr>
          <w:lang w:val="en-GB"/>
        </w:rPr>
      </w:pPr>
      <w:r>
        <w:rPr>
          <w:rStyle w:val="FootnoteReference"/>
        </w:rPr>
        <w:footnoteRef/>
      </w:r>
      <w:r>
        <w:t xml:space="preserve"> </w:t>
      </w:r>
      <w:r>
        <w:rPr>
          <w:lang w:val="en-GB"/>
        </w:rPr>
        <w:t xml:space="preserve">For an academic appraisal see, </w:t>
      </w:r>
      <w:r w:rsidRPr="00C83F7C">
        <w:rPr>
          <w:i/>
          <w:lang w:val="en-GB"/>
        </w:rPr>
        <w:t>inter alia</w:t>
      </w:r>
      <w:r>
        <w:rPr>
          <w:lang w:val="en-GB"/>
        </w:rPr>
        <w:t xml:space="preserve">, M. Nowak, A. </w:t>
      </w:r>
      <w:proofErr w:type="spellStart"/>
      <w:r>
        <w:rPr>
          <w:lang w:val="en-GB"/>
        </w:rPr>
        <w:t>Charbord</w:t>
      </w:r>
      <w:proofErr w:type="spellEnd"/>
      <w:r>
        <w:rPr>
          <w:lang w:val="en-GB"/>
        </w:rPr>
        <w:t xml:space="preserve">, </w:t>
      </w:r>
      <w:r w:rsidRPr="006653BD">
        <w:rPr>
          <w:i/>
          <w:lang w:val="en-GB"/>
        </w:rPr>
        <w:t>Article 4</w:t>
      </w:r>
      <w:r>
        <w:rPr>
          <w:lang w:val="en-GB"/>
        </w:rPr>
        <w:t>, in S. Peers, T. Hervey, J. Kenner, A. Ward (</w:t>
      </w:r>
      <w:proofErr w:type="spellStart"/>
      <w:r>
        <w:rPr>
          <w:lang w:val="en-GB"/>
        </w:rPr>
        <w:t>eds</w:t>
      </w:r>
      <w:proofErr w:type="spellEnd"/>
      <w:r>
        <w:rPr>
          <w:lang w:val="en-GB"/>
        </w:rPr>
        <w:t xml:space="preserve">), </w:t>
      </w:r>
      <w:r w:rsidRPr="006653BD">
        <w:rPr>
          <w:i/>
          <w:lang w:val="en-GB"/>
        </w:rPr>
        <w:t>The EU Charter of Fundamental Rights. A Commentary</w:t>
      </w:r>
      <w:r>
        <w:rPr>
          <w:lang w:val="en-GB"/>
        </w:rPr>
        <w:t>, Oxford and Portland, Oregon 2014, pp. 61-99.</w:t>
      </w:r>
    </w:p>
  </w:footnote>
  <w:footnote w:id="48">
    <w:p w14:paraId="6C78C0EA" w14:textId="41BE9F32" w:rsidR="003D4C37" w:rsidRPr="005F2591" w:rsidRDefault="003D4C37">
      <w:pPr>
        <w:pStyle w:val="FootnoteText"/>
        <w:rPr>
          <w:lang w:val="en-GB"/>
        </w:rPr>
      </w:pPr>
      <w:r>
        <w:rPr>
          <w:rStyle w:val="FootnoteReference"/>
        </w:rPr>
        <w:footnoteRef/>
      </w:r>
      <w:r>
        <w:t xml:space="preserve"> </w:t>
      </w:r>
      <w:r>
        <w:rPr>
          <w:lang w:val="en-GB"/>
        </w:rPr>
        <w:t>A</w:t>
      </w:r>
      <w:r w:rsidR="00C95E06">
        <w:rPr>
          <w:lang w:val="en-GB"/>
        </w:rPr>
        <w:t>s per Article 52 of the Charter.</w:t>
      </w:r>
    </w:p>
  </w:footnote>
  <w:footnote w:id="49">
    <w:p w14:paraId="6F8DD315" w14:textId="77777777" w:rsidR="003D4C37" w:rsidRPr="00631AC8" w:rsidRDefault="003D4C37">
      <w:pPr>
        <w:pStyle w:val="FootnoteText"/>
        <w:rPr>
          <w:lang w:val="en-GB"/>
        </w:rPr>
      </w:pPr>
      <w:r>
        <w:rPr>
          <w:rStyle w:val="FootnoteReference"/>
        </w:rPr>
        <w:footnoteRef/>
      </w:r>
      <w:r>
        <w:t xml:space="preserve"> </w:t>
      </w:r>
      <w:r>
        <w:rPr>
          <w:lang w:val="en-GB"/>
        </w:rPr>
        <w:t>Para. 89 of the judgment.</w:t>
      </w:r>
    </w:p>
  </w:footnote>
  <w:footnote w:id="50">
    <w:p w14:paraId="69E9B1D8" w14:textId="3FC2C68D" w:rsidR="003D4C37" w:rsidRPr="00E00A9C" w:rsidRDefault="003D4C37" w:rsidP="00164F5F">
      <w:pPr>
        <w:pStyle w:val="FootnoteText"/>
        <w:rPr>
          <w:lang w:val="en-GB"/>
        </w:rPr>
      </w:pPr>
      <w:r>
        <w:rPr>
          <w:rStyle w:val="FootnoteReference"/>
        </w:rPr>
        <w:footnoteRef/>
      </w:r>
      <w:r>
        <w:t xml:space="preserve"> </w:t>
      </w:r>
      <w:r>
        <w:rPr>
          <w:lang w:val="en-GB"/>
        </w:rPr>
        <w:t>Para. 90 of the judgment.</w:t>
      </w:r>
    </w:p>
  </w:footnote>
  <w:footnote w:id="51">
    <w:p w14:paraId="5B1C18AC" w14:textId="28EC16CC" w:rsidR="003D4C37" w:rsidRPr="00B66497" w:rsidRDefault="003D4C37">
      <w:pPr>
        <w:pStyle w:val="FootnoteText"/>
        <w:rPr>
          <w:lang w:val="en-GB"/>
        </w:rPr>
      </w:pPr>
      <w:r>
        <w:rPr>
          <w:rStyle w:val="FootnoteReference"/>
        </w:rPr>
        <w:footnoteRef/>
      </w:r>
      <w:r>
        <w:t xml:space="preserve"> </w:t>
      </w:r>
      <w:r>
        <w:rPr>
          <w:lang w:val="en-GB"/>
        </w:rPr>
        <w:t xml:space="preserve">Para. 94 of the judgment. </w:t>
      </w:r>
    </w:p>
  </w:footnote>
  <w:footnote w:id="52">
    <w:p w14:paraId="18A55EEE" w14:textId="1D4606BD" w:rsidR="003D4C37" w:rsidRPr="00410530" w:rsidRDefault="003D4C37">
      <w:pPr>
        <w:pStyle w:val="FootnoteText"/>
        <w:rPr>
          <w:lang w:val="en-GB"/>
        </w:rPr>
      </w:pPr>
      <w:r>
        <w:rPr>
          <w:rStyle w:val="FootnoteReference"/>
        </w:rPr>
        <w:footnoteRef/>
      </w:r>
      <w:r>
        <w:t xml:space="preserve"> </w:t>
      </w:r>
      <w:r>
        <w:rPr>
          <w:lang w:val="en-GB"/>
        </w:rPr>
        <w:t xml:space="preserve">Para 98 of the judgment. </w:t>
      </w:r>
    </w:p>
  </w:footnote>
  <w:footnote w:id="53">
    <w:p w14:paraId="17E8C725" w14:textId="6899BCEB" w:rsidR="003D4C37" w:rsidRPr="001519F4" w:rsidRDefault="003D4C37">
      <w:pPr>
        <w:pStyle w:val="FootnoteText"/>
        <w:rPr>
          <w:lang w:val="en-GB"/>
        </w:rPr>
      </w:pPr>
      <w:r>
        <w:rPr>
          <w:rStyle w:val="FootnoteReference"/>
        </w:rPr>
        <w:footnoteRef/>
      </w:r>
      <w:r>
        <w:t xml:space="preserve"> </w:t>
      </w:r>
      <w:r>
        <w:rPr>
          <w:lang w:val="en-GB"/>
        </w:rPr>
        <w:t>Para. 104 of the judgment.</w:t>
      </w:r>
    </w:p>
  </w:footnote>
  <w:footnote w:id="54">
    <w:p w14:paraId="6FF8ED6E" w14:textId="2E980FF7" w:rsidR="003D4C37" w:rsidRPr="00231813" w:rsidRDefault="003D4C37" w:rsidP="0089531B">
      <w:pPr>
        <w:pStyle w:val="FootnoteText"/>
        <w:jc w:val="both"/>
        <w:rPr>
          <w:lang w:val="en-GB"/>
        </w:rPr>
      </w:pPr>
      <w:r>
        <w:rPr>
          <w:rStyle w:val="FootnoteReference"/>
        </w:rPr>
        <w:footnoteRef/>
      </w:r>
      <w:r>
        <w:t xml:space="preserve"> W. Van </w:t>
      </w:r>
      <w:proofErr w:type="spellStart"/>
      <w:r>
        <w:t>Ballegooij</w:t>
      </w:r>
      <w:proofErr w:type="spellEnd"/>
      <w:r>
        <w:t xml:space="preserve">, P. </w:t>
      </w:r>
      <w:proofErr w:type="spellStart"/>
      <w:r>
        <w:t>Bárd</w:t>
      </w:r>
      <w:proofErr w:type="spellEnd"/>
      <w:r>
        <w:t xml:space="preserve">, </w:t>
      </w:r>
      <w:r w:rsidRPr="00BF5967">
        <w:rPr>
          <w:i/>
        </w:rPr>
        <w:t xml:space="preserve">Mutual Recognition and Individual Rights. Did the Court Get it </w:t>
      </w:r>
      <w:proofErr w:type="gramStart"/>
      <w:r w:rsidRPr="00BF5967">
        <w:rPr>
          <w:i/>
        </w:rPr>
        <w:t>Right?</w:t>
      </w:r>
      <w:r>
        <w:t>,</w:t>
      </w:r>
      <w:proofErr w:type="gramEnd"/>
      <w:r>
        <w:t xml:space="preserve"> </w:t>
      </w:r>
      <w:r w:rsidRPr="0089531B">
        <w:rPr>
          <w:i/>
        </w:rPr>
        <w:t>op. cit</w:t>
      </w:r>
      <w:r>
        <w:t>., at p. 462.</w:t>
      </w:r>
    </w:p>
  </w:footnote>
  <w:footnote w:id="55">
    <w:p w14:paraId="09CD059E" w14:textId="2F1EA776" w:rsidR="003D4C37" w:rsidRPr="003A5C81" w:rsidRDefault="003D4C37" w:rsidP="003A5C81">
      <w:pPr>
        <w:pStyle w:val="FootnoteText"/>
        <w:jc w:val="both"/>
        <w:rPr>
          <w:lang w:val="en-GB"/>
        </w:rPr>
      </w:pPr>
      <w:r>
        <w:rPr>
          <w:rStyle w:val="FootnoteReference"/>
        </w:rPr>
        <w:footnoteRef/>
      </w:r>
      <w:r>
        <w:t xml:space="preserve"> </w:t>
      </w:r>
      <w:r>
        <w:rPr>
          <w:lang w:val="en-GB"/>
        </w:rPr>
        <w:t xml:space="preserve">Many </w:t>
      </w:r>
      <w:proofErr w:type="spellStart"/>
      <w:r>
        <w:rPr>
          <w:lang w:val="en-GB"/>
        </w:rPr>
        <w:t>a</w:t>
      </w:r>
      <w:proofErr w:type="spellEnd"/>
      <w:r>
        <w:rPr>
          <w:lang w:val="en-GB"/>
        </w:rPr>
        <w:t xml:space="preserve"> times it is a consequence of the way in which the Court of Justice operates. As frequently discussed in the academic literature, the rules governing functioning of the Court of Justice do not permit for dissenting opinions, therefore the judgments, as well as opinions or orders of the Court, are products of compromises between judges forming a particular chamber. Allegedly, this may have impact on the quality of judicial discourse and, by the same token, the judgments of the Court. See further, </w:t>
      </w:r>
      <w:r w:rsidRPr="00D84E41">
        <w:rPr>
          <w:i/>
          <w:lang w:val="en-GB"/>
        </w:rPr>
        <w:t>inter alia</w:t>
      </w:r>
      <w:r>
        <w:rPr>
          <w:lang w:val="en-GB"/>
        </w:rPr>
        <w:t xml:space="preserve">, </w:t>
      </w:r>
      <w:r w:rsidRPr="004433D6">
        <w:t>M</w:t>
      </w:r>
      <w:r>
        <w:t>.</w:t>
      </w:r>
      <w:r w:rsidRPr="004433D6">
        <w:t xml:space="preserve"> Adams</w:t>
      </w:r>
      <w:r>
        <w:t>,</w:t>
      </w:r>
      <w:r w:rsidRPr="004433D6">
        <w:t xml:space="preserve"> </w:t>
      </w:r>
      <w:r>
        <w:t xml:space="preserve">H. de </w:t>
      </w:r>
      <w:proofErr w:type="spellStart"/>
      <w:r>
        <w:t>Waele</w:t>
      </w:r>
      <w:proofErr w:type="spellEnd"/>
      <w:r>
        <w:t xml:space="preserve">, J. </w:t>
      </w:r>
      <w:proofErr w:type="spellStart"/>
      <w:r>
        <w:t>Meeusen</w:t>
      </w:r>
      <w:proofErr w:type="spellEnd"/>
      <w:r>
        <w:t>, G.</w:t>
      </w:r>
      <w:r w:rsidRPr="00555E25">
        <w:t xml:space="preserve"> </w:t>
      </w:r>
      <w:proofErr w:type="spellStart"/>
      <w:r w:rsidRPr="00555E25">
        <w:t>Straetmans</w:t>
      </w:r>
      <w:proofErr w:type="spellEnd"/>
      <w:r w:rsidRPr="00555E25">
        <w:t xml:space="preserve"> </w:t>
      </w:r>
      <w:r w:rsidRPr="004433D6">
        <w:t>(</w:t>
      </w:r>
      <w:proofErr w:type="spellStart"/>
      <w:r w:rsidRPr="004433D6">
        <w:t>eds</w:t>
      </w:r>
      <w:proofErr w:type="spellEnd"/>
      <w:r w:rsidRPr="004433D6">
        <w:t xml:space="preserve">), </w:t>
      </w:r>
      <w:r w:rsidRPr="004433D6">
        <w:rPr>
          <w:i/>
        </w:rPr>
        <w:t>Judging Europe’s Judges: The Legitimacy of the Case Law of the European Court of Justice</w:t>
      </w:r>
      <w:r>
        <w:t xml:space="preserve">, </w:t>
      </w:r>
      <w:r w:rsidRPr="004433D6">
        <w:t>Hart</w:t>
      </w:r>
      <w:r>
        <w:t xml:space="preserve"> Publishing, Oxford and Portland-Oregon 2013.</w:t>
      </w:r>
    </w:p>
  </w:footnote>
  <w:footnote w:id="56">
    <w:p w14:paraId="195D3699" w14:textId="513F65D0" w:rsidR="003D4C37" w:rsidRPr="00237E84" w:rsidRDefault="003D4C37" w:rsidP="002451D5">
      <w:pPr>
        <w:pStyle w:val="FootnoteText"/>
        <w:jc w:val="both"/>
        <w:rPr>
          <w:i/>
          <w:lang w:val="en-GB"/>
        </w:rPr>
      </w:pPr>
      <w:r>
        <w:rPr>
          <w:rStyle w:val="FootnoteReference"/>
        </w:rPr>
        <w:footnoteRef/>
      </w:r>
      <w:r>
        <w:t xml:space="preserve"> </w:t>
      </w:r>
      <w:r>
        <w:rPr>
          <w:lang w:val="en-GB"/>
        </w:rPr>
        <w:t xml:space="preserve">In this respect a good example is judgment in </w:t>
      </w:r>
      <w:r w:rsidRPr="00237E84">
        <w:rPr>
          <w:lang w:val="en-GB"/>
        </w:rPr>
        <w:t xml:space="preserve">Case C-34/09 </w:t>
      </w:r>
      <w:r w:rsidRPr="00237E84">
        <w:rPr>
          <w:i/>
          <w:lang w:val="en-GB"/>
        </w:rPr>
        <w:t xml:space="preserve">Gerardo Ruiz Zambrano v Office national de </w:t>
      </w:r>
      <w:proofErr w:type="spellStart"/>
      <w:r w:rsidRPr="00237E84">
        <w:rPr>
          <w:i/>
          <w:lang w:val="en-GB"/>
        </w:rPr>
        <w:t>l’emploi</w:t>
      </w:r>
      <w:proofErr w:type="spellEnd"/>
      <w:r w:rsidRPr="00237E84">
        <w:rPr>
          <w:i/>
          <w:lang w:val="en-GB"/>
        </w:rPr>
        <w:t xml:space="preserve"> (</w:t>
      </w:r>
      <w:proofErr w:type="spellStart"/>
      <w:r w:rsidRPr="00237E84">
        <w:rPr>
          <w:i/>
          <w:lang w:val="en-GB"/>
        </w:rPr>
        <w:t>ONEm</w:t>
      </w:r>
      <w:proofErr w:type="spellEnd"/>
      <w:r w:rsidRPr="00237E84">
        <w:rPr>
          <w:i/>
          <w:lang w:val="en-GB"/>
        </w:rPr>
        <w:t>)</w:t>
      </w:r>
      <w:r w:rsidRPr="00237E84">
        <w:rPr>
          <w:lang w:val="en-GB"/>
        </w:rPr>
        <w:t>,</w:t>
      </w:r>
      <w:r>
        <w:rPr>
          <w:lang w:val="en-GB"/>
        </w:rPr>
        <w:t xml:space="preserve"> </w:t>
      </w:r>
      <w:r w:rsidRPr="00237E84">
        <w:rPr>
          <w:lang w:val="en-GB"/>
        </w:rPr>
        <w:t>ECLI:EU:C:2011:124</w:t>
      </w:r>
      <w:r>
        <w:rPr>
          <w:lang w:val="en-GB"/>
        </w:rPr>
        <w:t>.</w:t>
      </w:r>
    </w:p>
  </w:footnote>
  <w:footnote w:id="57">
    <w:p w14:paraId="09E0AEF1" w14:textId="31F39B14" w:rsidR="003D4C37" w:rsidRPr="009A4512" w:rsidRDefault="003D4C37" w:rsidP="00237E84">
      <w:pPr>
        <w:pStyle w:val="FootnoteText"/>
        <w:jc w:val="both"/>
        <w:rPr>
          <w:lang w:val="en-GB"/>
        </w:rPr>
      </w:pPr>
      <w:r>
        <w:rPr>
          <w:rStyle w:val="FootnoteReference"/>
        </w:rPr>
        <w:footnoteRef/>
      </w:r>
      <w:r>
        <w:t xml:space="preserve"> </w:t>
      </w:r>
      <w:r>
        <w:rPr>
          <w:lang w:val="en-GB"/>
        </w:rPr>
        <w:t>It is notable that the referring court submitted over a page worth of questions to the Court of Justice. See para. 40 of the judgment.</w:t>
      </w:r>
    </w:p>
  </w:footnote>
  <w:footnote w:id="58">
    <w:p w14:paraId="2ECCF712" w14:textId="2AF80285" w:rsidR="003D4C37" w:rsidRPr="00ED2C64" w:rsidRDefault="003D4C37" w:rsidP="00AF7B67">
      <w:pPr>
        <w:pStyle w:val="FootnoteText"/>
        <w:jc w:val="both"/>
        <w:rPr>
          <w:lang w:val="en-GB"/>
        </w:rPr>
      </w:pPr>
      <w:r>
        <w:rPr>
          <w:rStyle w:val="FootnoteReference"/>
        </w:rPr>
        <w:footnoteRef/>
      </w:r>
      <w:r>
        <w:t xml:space="preserve"> </w:t>
      </w:r>
      <w:r w:rsidR="00A975D4">
        <w:t>For instance j</w:t>
      </w:r>
      <w:r>
        <w:t xml:space="preserve">udgment of </w:t>
      </w:r>
      <w:r w:rsidRPr="00AF7B67">
        <w:t xml:space="preserve">ECtHR of 10 March 2015, </w:t>
      </w:r>
      <w:proofErr w:type="spellStart"/>
      <w:r w:rsidRPr="00AF7B67">
        <w:t>Varga</w:t>
      </w:r>
      <w:proofErr w:type="spellEnd"/>
      <w:r w:rsidRPr="00AF7B67">
        <w:t xml:space="preserve"> and Others v. Hungary</w:t>
      </w:r>
      <w:r>
        <w:t xml:space="preserve">, </w:t>
      </w:r>
      <w:proofErr w:type="gramStart"/>
      <w:r w:rsidRPr="00AF7B67">
        <w:t>CE:ECHR</w:t>
      </w:r>
      <w:proofErr w:type="gramEnd"/>
      <w:r w:rsidRPr="00AF7B67">
        <w:t xml:space="preserve">:2015:0310JUD001409712, </w:t>
      </w:r>
      <w:r>
        <w:t>paras. 79-92.</w:t>
      </w:r>
    </w:p>
  </w:footnote>
  <w:footnote w:id="59">
    <w:p w14:paraId="0146A0D6" w14:textId="56B3BD9D" w:rsidR="003D4C37" w:rsidRPr="001459D5" w:rsidRDefault="003D4C37" w:rsidP="001459D5">
      <w:pPr>
        <w:pStyle w:val="FootnoteText"/>
        <w:jc w:val="both"/>
        <w:rPr>
          <w:lang w:val="en-GB"/>
        </w:rPr>
      </w:pPr>
      <w:r>
        <w:rPr>
          <w:rStyle w:val="FootnoteReference"/>
        </w:rPr>
        <w:footnoteRef/>
      </w:r>
      <w:r>
        <w:t xml:space="preserve"> </w:t>
      </w:r>
      <w:r>
        <w:rPr>
          <w:lang w:val="en-GB"/>
        </w:rPr>
        <w:t xml:space="preserve">The only exception are paras. 68-71 where the Court of Justice reacts to submissions of the Hungarian government, disputing the existence of deficiencies in the Hungarian detention centres. The Court of Justice, rightly so, concludes that the existence of such deficiencies is neither the subject of the reference for preliminary ruling, nor determination of their existence is a task of the Court of Justice. </w:t>
      </w:r>
    </w:p>
  </w:footnote>
  <w:footnote w:id="60">
    <w:p w14:paraId="7B90740E" w14:textId="3F346D4F" w:rsidR="003D4C37" w:rsidRPr="006902BD" w:rsidRDefault="003D4C37">
      <w:pPr>
        <w:pStyle w:val="FootnoteText"/>
        <w:rPr>
          <w:lang w:val="en-GB"/>
        </w:rPr>
      </w:pPr>
      <w:r>
        <w:rPr>
          <w:rStyle w:val="FootnoteReference"/>
        </w:rPr>
        <w:footnoteRef/>
      </w:r>
      <w:r>
        <w:t xml:space="preserve"> </w:t>
      </w:r>
      <w:r>
        <w:rPr>
          <w:lang w:val="en-GB"/>
        </w:rPr>
        <w:t xml:space="preserve">See paras. 90-100 of the judgment. </w:t>
      </w:r>
    </w:p>
  </w:footnote>
  <w:footnote w:id="61">
    <w:p w14:paraId="0611F6DB" w14:textId="4088670B" w:rsidR="003D4C37" w:rsidRPr="007F230B" w:rsidRDefault="003D4C37" w:rsidP="007F230B">
      <w:pPr>
        <w:pStyle w:val="FootnoteText"/>
        <w:jc w:val="both"/>
        <w:rPr>
          <w:lang w:val="en-GB"/>
        </w:rPr>
      </w:pPr>
      <w:r>
        <w:rPr>
          <w:rStyle w:val="FootnoteReference"/>
        </w:rPr>
        <w:footnoteRef/>
      </w:r>
      <w:r>
        <w:t xml:space="preserve"> </w:t>
      </w:r>
      <w:r>
        <w:rPr>
          <w:lang w:val="en-GB"/>
        </w:rPr>
        <w:t xml:space="preserve">For an overview see, </w:t>
      </w:r>
      <w:r w:rsidRPr="007F230B">
        <w:rPr>
          <w:i/>
          <w:lang w:val="en-GB"/>
        </w:rPr>
        <w:t>inter alia</w:t>
      </w:r>
      <w:r>
        <w:rPr>
          <w:lang w:val="en-GB"/>
        </w:rPr>
        <w:t xml:space="preserve">, P. </w:t>
      </w:r>
      <w:proofErr w:type="spellStart"/>
      <w:r>
        <w:rPr>
          <w:lang w:val="en-GB"/>
        </w:rPr>
        <w:t>Filipek</w:t>
      </w:r>
      <w:proofErr w:type="spellEnd"/>
      <w:r>
        <w:rPr>
          <w:lang w:val="en-GB"/>
        </w:rPr>
        <w:t xml:space="preserve">, </w:t>
      </w:r>
      <w:r w:rsidRPr="00520E92">
        <w:rPr>
          <w:i/>
        </w:rPr>
        <w:t>Challenges to the Rule of Law in the European Union: the distressing case of Poland</w:t>
      </w:r>
      <w:r>
        <w:t xml:space="preserve">, </w:t>
      </w:r>
      <w:r w:rsidRPr="00520E92">
        <w:t xml:space="preserve">17 (2017) </w:t>
      </w:r>
      <w:proofErr w:type="spellStart"/>
      <w:r w:rsidRPr="00520E92">
        <w:t>Revista</w:t>
      </w:r>
      <w:proofErr w:type="spellEnd"/>
      <w:r w:rsidRPr="00520E92">
        <w:t xml:space="preserve"> do Instituto </w:t>
      </w:r>
      <w:proofErr w:type="spellStart"/>
      <w:r w:rsidRPr="00520E92">
        <w:t>B</w:t>
      </w:r>
      <w:r>
        <w:t>rasileiro</w:t>
      </w:r>
      <w:proofErr w:type="spellEnd"/>
      <w:r>
        <w:t xml:space="preserve"> de </w:t>
      </w:r>
      <w:proofErr w:type="spellStart"/>
      <w:r>
        <w:t>Direitos</w:t>
      </w:r>
      <w:proofErr w:type="spellEnd"/>
      <w:r>
        <w:t xml:space="preserve"> Humanos /</w:t>
      </w:r>
      <w:r w:rsidRPr="00520E92">
        <w:t>Journal of the Brazilian Institute of Human Rights</w:t>
      </w:r>
      <w:r>
        <w:t>, pp. [forthcoming, page numbers to be added at proof stage].</w:t>
      </w:r>
    </w:p>
  </w:footnote>
  <w:footnote w:id="62">
    <w:p w14:paraId="280447E7" w14:textId="4704AD72" w:rsidR="003D4C37" w:rsidRPr="001F3EAC" w:rsidRDefault="003D4C37" w:rsidP="001F3EAC">
      <w:pPr>
        <w:pStyle w:val="FootnoteText"/>
        <w:jc w:val="both"/>
        <w:rPr>
          <w:lang w:val="en-GB"/>
        </w:rPr>
      </w:pPr>
      <w:r>
        <w:rPr>
          <w:rStyle w:val="FootnoteReference"/>
        </w:rPr>
        <w:footnoteRef/>
      </w:r>
      <w:r>
        <w:t xml:space="preserve"> </w:t>
      </w:r>
      <w:r>
        <w:rPr>
          <w:lang w:val="en-GB"/>
        </w:rPr>
        <w:t xml:space="preserve">For instance, the Commission for Democracy through Law of the Council of Europe (usually referred to as the Venice Commission) issued several critical reports about the reforms in Poland. See, </w:t>
      </w:r>
      <w:r w:rsidRPr="001F3EAC">
        <w:rPr>
          <w:i/>
          <w:lang w:val="en-GB"/>
        </w:rPr>
        <w:t>inter alia</w:t>
      </w:r>
      <w:r>
        <w:rPr>
          <w:lang w:val="en-GB"/>
        </w:rPr>
        <w:t xml:space="preserve">, </w:t>
      </w:r>
      <w:r w:rsidRPr="00A93C3A">
        <w:rPr>
          <w:lang w:val="en-GB"/>
        </w:rPr>
        <w:t>Poland - Opinion on the Act on the Constitutional Tribunal, adopted by the Venice Commission at its 108th Plenary Session, (Venice, 14-15 October 2016)</w:t>
      </w:r>
      <w:r>
        <w:rPr>
          <w:lang w:val="en-GB"/>
        </w:rPr>
        <w:t xml:space="preserve">, </w:t>
      </w:r>
      <w:hyperlink r:id="rId2" w:history="1">
        <w:r w:rsidRPr="007C0117">
          <w:rPr>
            <w:rStyle w:val="Hyperlink"/>
            <w:lang w:val="en-GB"/>
          </w:rPr>
          <w:t>https://www.venice.coe.int/webforms/documents/?pdf=CDL-AD(2016)026-e</w:t>
        </w:r>
      </w:hyperlink>
      <w:r>
        <w:rPr>
          <w:lang w:val="en-GB"/>
        </w:rPr>
        <w:t xml:space="preserve">; </w:t>
      </w:r>
      <w:r w:rsidRPr="00A93C3A">
        <w:rPr>
          <w:lang w:val="en-GB"/>
        </w:rPr>
        <w:t>Poland - Opinion on the Draft Act amending the Act on the National Council of the Judiciary; on the Draft Act amending the Act on the Supreme Court, proposed by the President of Poland, and on the Act on the Organisation of Ordinary Courts, adopted by the Commission at its 113th Plenary Session (Venice, 8-9 December 2017)</w:t>
      </w:r>
      <w:r>
        <w:rPr>
          <w:lang w:val="en-GB"/>
        </w:rPr>
        <w:t xml:space="preserve">, available at: </w:t>
      </w:r>
      <w:hyperlink r:id="rId3" w:history="1">
        <w:r w:rsidRPr="007C0117">
          <w:rPr>
            <w:rStyle w:val="Hyperlink"/>
            <w:lang w:val="en-GB"/>
          </w:rPr>
          <w:t>https://www.venice.coe.int/webforms/documents/?pdf=CDL-AD(2017)031-e</w:t>
        </w:r>
      </w:hyperlink>
      <w:r>
        <w:rPr>
          <w:lang w:val="en-GB"/>
        </w:rPr>
        <w:t xml:space="preserve"> </w:t>
      </w:r>
    </w:p>
  </w:footnote>
  <w:footnote w:id="63">
    <w:p w14:paraId="0C034C3F" w14:textId="18082BDF" w:rsidR="003D4C37" w:rsidRPr="003A69BB" w:rsidRDefault="003D4C37" w:rsidP="00A3718E">
      <w:pPr>
        <w:pStyle w:val="FootnoteText"/>
        <w:jc w:val="both"/>
        <w:rPr>
          <w:lang w:val="en-GB"/>
        </w:rPr>
      </w:pPr>
      <w:r>
        <w:rPr>
          <w:rStyle w:val="FootnoteReference"/>
        </w:rPr>
        <w:footnoteRef/>
      </w:r>
      <w:r>
        <w:t xml:space="preserve"> </w:t>
      </w:r>
      <w:r>
        <w:rPr>
          <w:lang w:val="en-GB"/>
        </w:rPr>
        <w:t xml:space="preserve">See, </w:t>
      </w:r>
      <w:r w:rsidRPr="00A3718E">
        <w:rPr>
          <w:i/>
          <w:lang w:val="en-GB"/>
        </w:rPr>
        <w:t>inter alia</w:t>
      </w:r>
      <w:r>
        <w:rPr>
          <w:lang w:val="en-GB"/>
        </w:rPr>
        <w:t xml:space="preserve">, </w:t>
      </w:r>
      <w:r w:rsidRPr="00A3718E">
        <w:rPr>
          <w:lang w:val="en-GB"/>
        </w:rPr>
        <w:t xml:space="preserve">D. </w:t>
      </w:r>
      <w:proofErr w:type="spellStart"/>
      <w:r w:rsidRPr="00A3718E">
        <w:rPr>
          <w:lang w:val="en-GB"/>
        </w:rPr>
        <w:t>Kochenov</w:t>
      </w:r>
      <w:proofErr w:type="spellEnd"/>
      <w:r w:rsidRPr="00A3718E">
        <w:rPr>
          <w:lang w:val="en-GB"/>
        </w:rPr>
        <w:t xml:space="preserve"> and L. </w:t>
      </w:r>
      <w:proofErr w:type="spellStart"/>
      <w:r w:rsidRPr="00A3718E">
        <w:rPr>
          <w:lang w:val="en-GB"/>
        </w:rPr>
        <w:t>Pech</w:t>
      </w:r>
      <w:proofErr w:type="spellEnd"/>
      <w:r w:rsidRPr="00A3718E">
        <w:rPr>
          <w:lang w:val="en-GB"/>
        </w:rPr>
        <w:t xml:space="preserve">, </w:t>
      </w:r>
      <w:r w:rsidRPr="00A3718E">
        <w:rPr>
          <w:i/>
          <w:lang w:val="en-GB"/>
        </w:rPr>
        <w:t>Monitoring and Enforcement of the Rule of Law in the EU: Rhetoric and Reality</w:t>
      </w:r>
      <w:r w:rsidRPr="00A3718E">
        <w:rPr>
          <w:lang w:val="en-GB"/>
        </w:rPr>
        <w:t xml:space="preserve">, 11 </w:t>
      </w:r>
      <w:proofErr w:type="spellStart"/>
      <w:r w:rsidRPr="00A3718E">
        <w:rPr>
          <w:lang w:val="en-GB"/>
        </w:rPr>
        <w:t>EUConst</w:t>
      </w:r>
      <w:proofErr w:type="spellEnd"/>
      <w:r w:rsidRPr="00A3718E">
        <w:rPr>
          <w:lang w:val="en-GB"/>
        </w:rPr>
        <w:t>. (2015) pp. 512-540</w:t>
      </w:r>
      <w:r>
        <w:rPr>
          <w:lang w:val="en-GB"/>
        </w:rPr>
        <w:t xml:space="preserve">; </w:t>
      </w:r>
      <w:r>
        <w:rPr>
          <w:color w:val="000000"/>
        </w:rPr>
        <w:t xml:space="preserve">D. </w:t>
      </w:r>
      <w:proofErr w:type="spellStart"/>
      <w:r>
        <w:rPr>
          <w:color w:val="000000"/>
        </w:rPr>
        <w:t>Kochenov</w:t>
      </w:r>
      <w:proofErr w:type="spellEnd"/>
      <w:r>
        <w:rPr>
          <w:color w:val="000000"/>
        </w:rPr>
        <w:t xml:space="preserve">, </w:t>
      </w:r>
      <w:r>
        <w:rPr>
          <w:i/>
          <w:iCs/>
          <w:color w:val="000000"/>
        </w:rPr>
        <w:t>On Policing Article 2 TEU Compliance - Reverse Solange and Systemic Infringements Analyzed</w:t>
      </w:r>
      <w:r>
        <w:rPr>
          <w:color w:val="000000"/>
        </w:rPr>
        <w:t xml:space="preserve">, XXXIII </w:t>
      </w:r>
      <w:proofErr w:type="spellStart"/>
      <w:r>
        <w:rPr>
          <w:color w:val="000000"/>
        </w:rPr>
        <w:t>PoLYBIL</w:t>
      </w:r>
      <w:proofErr w:type="spellEnd"/>
      <w:r>
        <w:rPr>
          <w:color w:val="000000"/>
        </w:rPr>
        <w:t xml:space="preserve"> (2013) pp. 145-170; </w:t>
      </w:r>
      <w:r w:rsidRPr="00C74AFB">
        <w:rPr>
          <w:color w:val="000000"/>
        </w:rPr>
        <w:t xml:space="preserve">A. Von </w:t>
      </w:r>
      <w:proofErr w:type="spellStart"/>
      <w:r w:rsidRPr="00C74AFB">
        <w:rPr>
          <w:color w:val="000000"/>
        </w:rPr>
        <w:t>Bogdandy</w:t>
      </w:r>
      <w:proofErr w:type="spellEnd"/>
      <w:r w:rsidRPr="00C74AFB">
        <w:rPr>
          <w:color w:val="000000"/>
        </w:rPr>
        <w:t xml:space="preserve">, M. </w:t>
      </w:r>
      <w:proofErr w:type="spellStart"/>
      <w:r w:rsidRPr="00C74AFB">
        <w:rPr>
          <w:color w:val="000000"/>
        </w:rPr>
        <w:t>Kottmann</w:t>
      </w:r>
      <w:proofErr w:type="spellEnd"/>
      <w:r w:rsidRPr="00C74AFB">
        <w:rPr>
          <w:color w:val="000000"/>
        </w:rPr>
        <w:t xml:space="preserve">, C. </w:t>
      </w:r>
      <w:proofErr w:type="spellStart"/>
      <w:r w:rsidRPr="00C74AFB">
        <w:rPr>
          <w:color w:val="000000"/>
        </w:rPr>
        <w:t>Antpöhler</w:t>
      </w:r>
      <w:proofErr w:type="spellEnd"/>
      <w:r w:rsidRPr="00C74AFB">
        <w:rPr>
          <w:color w:val="000000"/>
        </w:rPr>
        <w:t xml:space="preserve">, J. </w:t>
      </w:r>
      <w:proofErr w:type="spellStart"/>
      <w:r w:rsidRPr="00C74AFB">
        <w:rPr>
          <w:color w:val="000000"/>
        </w:rPr>
        <w:t>Dickschen</w:t>
      </w:r>
      <w:proofErr w:type="spellEnd"/>
      <w:r w:rsidRPr="00C74AFB">
        <w:rPr>
          <w:color w:val="000000"/>
        </w:rPr>
        <w:t xml:space="preserve">, S. </w:t>
      </w:r>
      <w:proofErr w:type="spellStart"/>
      <w:r w:rsidRPr="00C74AFB">
        <w:rPr>
          <w:color w:val="000000"/>
        </w:rPr>
        <w:t>Hentrei</w:t>
      </w:r>
      <w:proofErr w:type="spellEnd"/>
      <w:r w:rsidRPr="00C74AFB">
        <w:rPr>
          <w:color w:val="000000"/>
        </w:rPr>
        <w:t xml:space="preserve">, M. </w:t>
      </w:r>
      <w:proofErr w:type="spellStart"/>
      <w:r w:rsidRPr="00C74AFB">
        <w:rPr>
          <w:color w:val="000000"/>
        </w:rPr>
        <w:t>Smrkolj</w:t>
      </w:r>
      <w:proofErr w:type="spellEnd"/>
      <w:r w:rsidRPr="00C74AFB">
        <w:rPr>
          <w:color w:val="000000"/>
        </w:rPr>
        <w:t xml:space="preserve">, </w:t>
      </w:r>
      <w:r w:rsidRPr="00C74AFB">
        <w:rPr>
          <w:i/>
          <w:color w:val="000000"/>
        </w:rPr>
        <w:t>Reverse Solange–Protecting the essence of fundamental rights against EU Member States</w:t>
      </w:r>
      <w:r w:rsidRPr="00C74AFB">
        <w:rPr>
          <w:color w:val="000000"/>
        </w:rPr>
        <w:t xml:space="preserve">, 49 </w:t>
      </w:r>
      <w:proofErr w:type="spellStart"/>
      <w:r w:rsidRPr="00C74AFB">
        <w:rPr>
          <w:color w:val="000000"/>
        </w:rPr>
        <w:t>CMLRev</w:t>
      </w:r>
      <w:proofErr w:type="spellEnd"/>
      <w:r w:rsidRPr="00C74AFB">
        <w:rPr>
          <w:color w:val="000000"/>
        </w:rPr>
        <w:t>. (2012) pp. 489–519</w:t>
      </w:r>
      <w:r>
        <w:rPr>
          <w:color w:val="000000"/>
        </w:rPr>
        <w:t xml:space="preserve">; </w:t>
      </w:r>
      <w:r w:rsidRPr="003D4C37">
        <w:rPr>
          <w:color w:val="000000"/>
        </w:rPr>
        <w:t>M</w:t>
      </w:r>
      <w:r w:rsidR="003775C8">
        <w:rPr>
          <w:color w:val="000000"/>
        </w:rPr>
        <w:t>.</w:t>
      </w:r>
      <w:r w:rsidRPr="003D4C37">
        <w:rPr>
          <w:color w:val="000000"/>
        </w:rPr>
        <w:t xml:space="preserve"> Schmidt, P</w:t>
      </w:r>
      <w:r w:rsidR="003775C8">
        <w:rPr>
          <w:color w:val="000000"/>
        </w:rPr>
        <w:t xml:space="preserve">. </w:t>
      </w:r>
      <w:proofErr w:type="spellStart"/>
      <w:r w:rsidR="003775C8">
        <w:rPr>
          <w:color w:val="000000"/>
        </w:rPr>
        <w:t>Bogdanowicz</w:t>
      </w:r>
      <w:proofErr w:type="spellEnd"/>
      <w:r w:rsidR="003775C8">
        <w:rPr>
          <w:color w:val="000000"/>
        </w:rPr>
        <w:t xml:space="preserve">, </w:t>
      </w:r>
      <w:proofErr w:type="gramStart"/>
      <w:r w:rsidRPr="003775C8">
        <w:rPr>
          <w:i/>
          <w:color w:val="000000"/>
        </w:rPr>
        <w:t>The</w:t>
      </w:r>
      <w:proofErr w:type="gramEnd"/>
      <w:r w:rsidRPr="003775C8">
        <w:rPr>
          <w:i/>
          <w:color w:val="000000"/>
        </w:rPr>
        <w:t xml:space="preserve"> infringement procedure in the rule of law crisis: How to make effective use of Article 258 T</w:t>
      </w:r>
      <w:r w:rsidR="003775C8" w:rsidRPr="003775C8">
        <w:rPr>
          <w:i/>
          <w:color w:val="000000"/>
        </w:rPr>
        <w:t>FEU</w:t>
      </w:r>
      <w:r w:rsidR="003775C8">
        <w:rPr>
          <w:color w:val="000000"/>
        </w:rPr>
        <w:t>,</w:t>
      </w:r>
      <w:r w:rsidRPr="003D4C37">
        <w:rPr>
          <w:color w:val="000000"/>
        </w:rPr>
        <w:t xml:space="preserve"> 55 </w:t>
      </w:r>
      <w:proofErr w:type="spellStart"/>
      <w:r w:rsidR="003775C8">
        <w:rPr>
          <w:color w:val="000000"/>
        </w:rPr>
        <w:t>CMLRev</w:t>
      </w:r>
      <w:proofErr w:type="spellEnd"/>
      <w:r w:rsidR="003775C8">
        <w:rPr>
          <w:color w:val="000000"/>
        </w:rPr>
        <w:t>.</w:t>
      </w:r>
      <w:r w:rsidR="003775C8" w:rsidRPr="003775C8">
        <w:rPr>
          <w:color w:val="000000"/>
        </w:rPr>
        <w:t xml:space="preserve"> </w:t>
      </w:r>
      <w:r w:rsidR="003775C8" w:rsidRPr="003D4C37">
        <w:rPr>
          <w:color w:val="000000"/>
        </w:rPr>
        <w:t xml:space="preserve">(2018) </w:t>
      </w:r>
      <w:r w:rsidRPr="003D4C37">
        <w:rPr>
          <w:color w:val="000000"/>
        </w:rPr>
        <w:t>pp. 1061–1100</w:t>
      </w:r>
      <w:r w:rsidR="003775C8">
        <w:rPr>
          <w:color w:val="000000"/>
        </w:rPr>
        <w:t>.</w:t>
      </w:r>
    </w:p>
  </w:footnote>
  <w:footnote w:id="64">
    <w:p w14:paraId="49497177" w14:textId="5925FD72" w:rsidR="003D4C37" w:rsidRPr="009B343A" w:rsidRDefault="003D4C37" w:rsidP="005F4D8C">
      <w:pPr>
        <w:pStyle w:val="FootnoteText"/>
        <w:jc w:val="both"/>
        <w:rPr>
          <w:lang w:val="en-GB"/>
        </w:rPr>
      </w:pPr>
      <w:r>
        <w:rPr>
          <w:rStyle w:val="FootnoteReference"/>
        </w:rPr>
        <w:footnoteRef/>
      </w:r>
      <w:r>
        <w:t xml:space="preserve"> </w:t>
      </w:r>
      <w:r w:rsidR="005F4D8C">
        <w:t xml:space="preserve">For instance, pending case </w:t>
      </w:r>
      <w:r w:rsidR="005F4D8C" w:rsidRPr="005F4D8C">
        <w:rPr>
          <w:lang w:val="en-GB"/>
        </w:rPr>
        <w:t xml:space="preserve">C-619/18 </w:t>
      </w:r>
      <w:r w:rsidR="005F4D8C" w:rsidRPr="005F4D8C">
        <w:rPr>
          <w:i/>
          <w:lang w:val="en-GB"/>
        </w:rPr>
        <w:t>Commission v. Poland</w:t>
      </w:r>
      <w:r w:rsidR="005F4D8C">
        <w:rPr>
          <w:lang w:val="en-GB"/>
        </w:rPr>
        <w:t xml:space="preserve">. See Order of the </w:t>
      </w:r>
      <w:proofErr w:type="spellStart"/>
      <w:r w:rsidR="005F4D8C">
        <w:rPr>
          <w:lang w:val="en-GB"/>
        </w:rPr>
        <w:t>Vicepresident</w:t>
      </w:r>
      <w:proofErr w:type="spellEnd"/>
      <w:r w:rsidR="005F4D8C">
        <w:rPr>
          <w:lang w:val="en-GB"/>
        </w:rPr>
        <w:t xml:space="preserve"> of the Court of Justice C-619/18P </w:t>
      </w:r>
      <w:r w:rsidR="005F4D8C" w:rsidRPr="005F4D8C">
        <w:rPr>
          <w:i/>
          <w:lang w:val="en-GB"/>
        </w:rPr>
        <w:t>Commission v. Poland</w:t>
      </w:r>
      <w:r w:rsidR="005F4D8C">
        <w:rPr>
          <w:lang w:val="en-GB"/>
        </w:rPr>
        <w:t xml:space="preserve">, 19 October 2018, </w:t>
      </w:r>
      <w:r w:rsidR="005F4D8C" w:rsidRPr="005F4D8C">
        <w:rPr>
          <w:lang w:val="en-GB"/>
        </w:rPr>
        <w:t>ECLI:EU:C:2018:852</w:t>
      </w:r>
      <w:r w:rsidR="005F4D8C">
        <w:rPr>
          <w:lang w:val="en-GB"/>
        </w:rPr>
        <w:t>.</w:t>
      </w:r>
    </w:p>
  </w:footnote>
  <w:footnote w:id="65">
    <w:p w14:paraId="4D812CA6" w14:textId="4F0B99F8" w:rsidR="005F4D8C" w:rsidRPr="005F4D8C" w:rsidRDefault="005F4D8C" w:rsidP="001D7451">
      <w:pPr>
        <w:pStyle w:val="FootnoteText"/>
        <w:jc w:val="both"/>
      </w:pPr>
      <w:r>
        <w:rPr>
          <w:rStyle w:val="FootnoteReference"/>
        </w:rPr>
        <w:footnoteRef/>
      </w:r>
      <w:r>
        <w:t xml:space="preserve"> </w:t>
      </w:r>
      <w:r w:rsidR="001D7451">
        <w:t xml:space="preserve">For an appraisal of Article 7 TEU and its progeny, see, </w:t>
      </w:r>
      <w:r w:rsidR="001D7451" w:rsidRPr="001D7451">
        <w:rPr>
          <w:i/>
        </w:rPr>
        <w:t>exempli gratia</w:t>
      </w:r>
      <w:r w:rsidR="001D7451">
        <w:t xml:space="preserve">, </w:t>
      </w:r>
      <w:r w:rsidR="00D60E0D">
        <w:t xml:space="preserve">W. </w:t>
      </w:r>
      <w:proofErr w:type="spellStart"/>
      <w:r w:rsidR="00D60E0D">
        <w:t>Sadurski</w:t>
      </w:r>
      <w:proofErr w:type="spellEnd"/>
      <w:r w:rsidR="00D60E0D">
        <w:t xml:space="preserve">, </w:t>
      </w:r>
      <w:r w:rsidR="009F7D31" w:rsidRPr="009F7D31">
        <w:rPr>
          <w:i/>
        </w:rPr>
        <w:t xml:space="preserve">Adding Bite to a Bark: The Story of Article 7, E.U. Enlargement, and </w:t>
      </w:r>
      <w:proofErr w:type="spellStart"/>
      <w:r w:rsidR="009F7D31" w:rsidRPr="009F7D31">
        <w:rPr>
          <w:i/>
        </w:rPr>
        <w:t>Jörg</w:t>
      </w:r>
      <w:proofErr w:type="spellEnd"/>
      <w:r w:rsidR="009F7D31" w:rsidRPr="009F7D31">
        <w:rPr>
          <w:i/>
        </w:rPr>
        <w:t xml:space="preserve"> Haider</w:t>
      </w:r>
      <w:r w:rsidR="009F7D31">
        <w:t xml:space="preserve">, 16 CJEL (2010) pp. </w:t>
      </w:r>
      <w:r w:rsidR="009F7D31" w:rsidRPr="009F7D31">
        <w:t>385</w:t>
      </w:r>
      <w:r w:rsidR="009F7D31">
        <w:t>-</w:t>
      </w:r>
      <w:r w:rsidR="009F7D31" w:rsidRPr="009F7D31">
        <w:t>.</w:t>
      </w:r>
    </w:p>
  </w:footnote>
  <w:footnote w:id="66">
    <w:p w14:paraId="474724DC" w14:textId="77777777" w:rsidR="003D4C37" w:rsidRPr="00B40B35" w:rsidRDefault="003D4C37" w:rsidP="00B40B35">
      <w:pPr>
        <w:pStyle w:val="FootnoteText"/>
        <w:jc w:val="both"/>
        <w:rPr>
          <w:lang w:val="en-GB"/>
        </w:rPr>
      </w:pPr>
      <w:r>
        <w:rPr>
          <w:rStyle w:val="FootnoteReference"/>
        </w:rPr>
        <w:footnoteRef/>
      </w:r>
      <w:r>
        <w:t xml:space="preserve"> </w:t>
      </w:r>
      <w:r w:rsidRPr="00B40B35">
        <w:t xml:space="preserve">Proposal for a </w:t>
      </w:r>
      <w:r>
        <w:t xml:space="preserve">Council Decision </w:t>
      </w:r>
      <w:r w:rsidRPr="00B40B35">
        <w:t>on the determination of a clear risk of a serious breach by the Republic of Poland of the rule of law</w:t>
      </w:r>
      <w:r>
        <w:t xml:space="preserve">, COM (2017) </w:t>
      </w:r>
      <w:r w:rsidRPr="004D4E32">
        <w:t>835 final</w:t>
      </w:r>
      <w:r>
        <w:t>.</w:t>
      </w:r>
    </w:p>
  </w:footnote>
  <w:footnote w:id="67">
    <w:p w14:paraId="1132BA51" w14:textId="644D06ED" w:rsidR="000A7D22" w:rsidRPr="001C3168" w:rsidRDefault="000A7D22" w:rsidP="00AE24E0">
      <w:pPr>
        <w:pStyle w:val="FootnoteText"/>
        <w:jc w:val="both"/>
        <w:rPr>
          <w:lang w:val="pl-PL"/>
        </w:rPr>
      </w:pPr>
      <w:r>
        <w:rPr>
          <w:rStyle w:val="FootnoteReference"/>
        </w:rPr>
        <w:footnoteRef/>
      </w:r>
      <w:r w:rsidRPr="00AE24E0">
        <w:rPr>
          <w:lang w:val="pl-PL"/>
        </w:rPr>
        <w:t xml:space="preserve"> </w:t>
      </w:r>
      <w:proofErr w:type="spellStart"/>
      <w:r w:rsidRPr="00AE24E0">
        <w:rPr>
          <w:lang w:val="pl-PL"/>
        </w:rPr>
        <w:t>See</w:t>
      </w:r>
      <w:proofErr w:type="spellEnd"/>
      <w:r w:rsidRPr="00AE24E0">
        <w:rPr>
          <w:lang w:val="pl-PL"/>
        </w:rPr>
        <w:t xml:space="preserve">, </w:t>
      </w:r>
      <w:proofErr w:type="spellStart"/>
      <w:r w:rsidRPr="00AE24E0">
        <w:rPr>
          <w:i/>
          <w:lang w:val="pl-PL"/>
        </w:rPr>
        <w:t>inter</w:t>
      </w:r>
      <w:proofErr w:type="spellEnd"/>
      <w:r w:rsidRPr="00AE24E0">
        <w:rPr>
          <w:i/>
          <w:lang w:val="pl-PL"/>
        </w:rPr>
        <w:t xml:space="preserve"> </w:t>
      </w:r>
      <w:proofErr w:type="spellStart"/>
      <w:r w:rsidRPr="00AE24E0">
        <w:rPr>
          <w:i/>
          <w:lang w:val="pl-PL"/>
        </w:rPr>
        <w:t>alia</w:t>
      </w:r>
      <w:proofErr w:type="spellEnd"/>
      <w:r w:rsidRPr="00AE24E0">
        <w:rPr>
          <w:lang w:val="pl-PL"/>
        </w:rPr>
        <w:t xml:space="preserve">, </w:t>
      </w:r>
      <w:proofErr w:type="spellStart"/>
      <w:r w:rsidRPr="00AE24E0">
        <w:rPr>
          <w:lang w:val="pl-PL"/>
        </w:rPr>
        <w:t>pending</w:t>
      </w:r>
      <w:proofErr w:type="spellEnd"/>
      <w:r w:rsidRPr="00AE24E0">
        <w:rPr>
          <w:lang w:val="pl-PL"/>
        </w:rPr>
        <w:t xml:space="preserve"> </w:t>
      </w:r>
      <w:proofErr w:type="spellStart"/>
      <w:r w:rsidR="00AE24E0">
        <w:rPr>
          <w:lang w:val="pl-PL"/>
        </w:rPr>
        <w:t>references</w:t>
      </w:r>
      <w:proofErr w:type="spellEnd"/>
      <w:r w:rsidR="00AE24E0">
        <w:rPr>
          <w:lang w:val="pl-PL"/>
        </w:rPr>
        <w:t xml:space="preserve"> for </w:t>
      </w:r>
      <w:proofErr w:type="spellStart"/>
      <w:r w:rsidR="00AE24E0">
        <w:rPr>
          <w:lang w:val="pl-PL"/>
        </w:rPr>
        <w:t>preliminary</w:t>
      </w:r>
      <w:proofErr w:type="spellEnd"/>
      <w:r w:rsidR="00AE24E0">
        <w:rPr>
          <w:lang w:val="pl-PL"/>
        </w:rPr>
        <w:t xml:space="preserve"> </w:t>
      </w:r>
      <w:proofErr w:type="spellStart"/>
      <w:r w:rsidR="00AE24E0">
        <w:rPr>
          <w:lang w:val="pl-PL"/>
        </w:rPr>
        <w:t>ruling</w:t>
      </w:r>
      <w:proofErr w:type="spellEnd"/>
      <w:r w:rsidR="00AE24E0">
        <w:rPr>
          <w:lang w:val="pl-PL"/>
        </w:rPr>
        <w:t xml:space="preserve"> </w:t>
      </w:r>
      <w:proofErr w:type="spellStart"/>
      <w:r w:rsidR="00AE24E0">
        <w:rPr>
          <w:lang w:val="pl-PL"/>
        </w:rPr>
        <w:t>submitted</w:t>
      </w:r>
      <w:proofErr w:type="spellEnd"/>
      <w:r w:rsidR="00AE24E0">
        <w:rPr>
          <w:lang w:val="pl-PL"/>
        </w:rPr>
        <w:t xml:space="preserve"> by the </w:t>
      </w:r>
      <w:proofErr w:type="spellStart"/>
      <w:r w:rsidR="00AE24E0">
        <w:rPr>
          <w:lang w:val="pl-PL"/>
        </w:rPr>
        <w:t>Polish</w:t>
      </w:r>
      <w:proofErr w:type="spellEnd"/>
      <w:r w:rsidR="00AE24E0">
        <w:rPr>
          <w:lang w:val="pl-PL"/>
        </w:rPr>
        <w:t xml:space="preserve"> </w:t>
      </w:r>
      <w:proofErr w:type="spellStart"/>
      <w:r w:rsidR="00AE24E0">
        <w:rPr>
          <w:lang w:val="pl-PL"/>
        </w:rPr>
        <w:t>Supreme</w:t>
      </w:r>
      <w:proofErr w:type="spellEnd"/>
      <w:r w:rsidR="00AE24E0">
        <w:rPr>
          <w:lang w:val="pl-PL"/>
        </w:rPr>
        <w:t xml:space="preserve"> Court</w:t>
      </w:r>
      <w:r w:rsidRPr="00AE24E0">
        <w:rPr>
          <w:lang w:val="pl-PL"/>
        </w:rPr>
        <w:t>:</w:t>
      </w:r>
      <w:r w:rsidR="00E8016D" w:rsidRPr="00AE24E0">
        <w:rPr>
          <w:lang w:val="pl-PL"/>
        </w:rPr>
        <w:t xml:space="preserve"> C-522/18 </w:t>
      </w:r>
      <w:r w:rsidR="00AE24E0" w:rsidRPr="00AE24E0">
        <w:rPr>
          <w:i/>
          <w:lang w:val="pl-PL"/>
        </w:rPr>
        <w:t>D.Ś. v. Zakładowi Ubezpieczeń Społecznych Oddział w Jaśle</w:t>
      </w:r>
      <w:r w:rsidR="00AE24E0">
        <w:rPr>
          <w:lang w:val="pl-PL"/>
        </w:rPr>
        <w:t>;</w:t>
      </w:r>
      <w:r w:rsidRPr="001C3168">
        <w:rPr>
          <w:lang w:val="pl-PL"/>
        </w:rPr>
        <w:t xml:space="preserve"> </w:t>
      </w:r>
      <w:r w:rsidR="009D7E50">
        <w:rPr>
          <w:lang w:val="pl-PL"/>
        </w:rPr>
        <w:t xml:space="preserve">C-537/18 </w:t>
      </w:r>
      <w:r w:rsidR="009D7E50" w:rsidRPr="001C3168">
        <w:rPr>
          <w:i/>
          <w:lang w:val="pl-PL"/>
        </w:rPr>
        <w:t>Krajowa Rada Sądownictwa</w:t>
      </w:r>
      <w:r w:rsidR="009D7E50">
        <w:rPr>
          <w:lang w:val="pl-PL"/>
        </w:rPr>
        <w:t xml:space="preserve">; </w:t>
      </w:r>
      <w:r w:rsidR="001C3168" w:rsidRPr="001C3168">
        <w:rPr>
          <w:lang w:val="pl-PL"/>
        </w:rPr>
        <w:t xml:space="preserve">C-585/18 </w:t>
      </w:r>
      <w:r w:rsidR="001C3168" w:rsidRPr="001C3168">
        <w:rPr>
          <w:i/>
          <w:lang w:val="pl-PL"/>
        </w:rPr>
        <w:t>Krajowa Rada Sądownictwa</w:t>
      </w:r>
      <w:r w:rsidR="00AE24E0">
        <w:rPr>
          <w:lang w:val="pl-PL"/>
        </w:rPr>
        <w:t>.</w:t>
      </w:r>
    </w:p>
  </w:footnote>
  <w:footnote w:id="68">
    <w:p w14:paraId="3A25E6B2" w14:textId="77777777" w:rsidR="00AC3ABA" w:rsidRPr="001A2164" w:rsidRDefault="00AC3ABA" w:rsidP="00AC3ABA">
      <w:pPr>
        <w:pStyle w:val="FootnoteText"/>
        <w:jc w:val="both"/>
        <w:rPr>
          <w:lang w:val="en-GB"/>
        </w:rPr>
      </w:pPr>
      <w:r>
        <w:rPr>
          <w:rStyle w:val="FootnoteReference"/>
        </w:rPr>
        <w:footnoteRef/>
      </w:r>
      <w:r>
        <w:t xml:space="preserve"> Irish High Court, </w:t>
      </w:r>
      <w:r w:rsidRPr="00F20BDD">
        <w:t>Minister for Justi</w:t>
      </w:r>
      <w:r>
        <w:t xml:space="preserve">ce and Equality -v- </w:t>
      </w:r>
      <w:proofErr w:type="spellStart"/>
      <w:r>
        <w:t>Celmer</w:t>
      </w:r>
      <w:proofErr w:type="spellEnd"/>
      <w:r>
        <w:t xml:space="preserve"> (No.1</w:t>
      </w:r>
      <w:r w:rsidRPr="00F20BDD">
        <w:t>)</w:t>
      </w:r>
      <w:r>
        <w:t xml:space="preserve">, judgment of 12 March 2018, </w:t>
      </w:r>
      <w:r w:rsidRPr="004D316F">
        <w:t>[2018] IEHC 119</w:t>
      </w:r>
      <w:r>
        <w:t xml:space="preserve">. For an academic appraisal, see </w:t>
      </w:r>
      <w:r w:rsidRPr="004D316F">
        <w:rPr>
          <w:i/>
        </w:rPr>
        <w:t>inter alia</w:t>
      </w:r>
      <w:r>
        <w:t xml:space="preserve">, </w:t>
      </w:r>
      <w:r w:rsidRPr="004D316F">
        <w:t>M</w:t>
      </w:r>
      <w:r>
        <w:t xml:space="preserve">. </w:t>
      </w:r>
      <w:proofErr w:type="spellStart"/>
      <w:r>
        <w:t>Dorociak</w:t>
      </w:r>
      <w:proofErr w:type="spellEnd"/>
      <w:r>
        <w:t>, W.</w:t>
      </w:r>
      <w:r w:rsidRPr="004D316F">
        <w:t xml:space="preserve"> Lewandowski</w:t>
      </w:r>
      <w:r>
        <w:t xml:space="preserve">, </w:t>
      </w:r>
      <w:r w:rsidRPr="00F166E7">
        <w:rPr>
          <w:i/>
        </w:rPr>
        <w:t xml:space="preserve">A Check Move for the Principle of Mutual Trust from Dublin: The </w:t>
      </w:r>
      <w:proofErr w:type="spellStart"/>
      <w:r w:rsidRPr="00F166E7">
        <w:rPr>
          <w:i/>
        </w:rPr>
        <w:t>Celmer</w:t>
      </w:r>
      <w:proofErr w:type="spellEnd"/>
      <w:r w:rsidRPr="00F166E7">
        <w:rPr>
          <w:i/>
        </w:rPr>
        <w:t xml:space="preserve"> Case</w:t>
      </w:r>
      <w:r>
        <w:t xml:space="preserve">, 3 European </w:t>
      </w:r>
      <w:proofErr w:type="spellStart"/>
      <w:r>
        <w:t>Papesr</w:t>
      </w:r>
      <w:proofErr w:type="spellEnd"/>
      <w:r>
        <w:t xml:space="preserve"> (2018) pp. </w:t>
      </w:r>
      <w:r w:rsidRPr="00955057">
        <w:t>857-873</w:t>
      </w:r>
      <w:r>
        <w:t xml:space="preserve">; S. Carrera, V. </w:t>
      </w:r>
      <w:proofErr w:type="spellStart"/>
      <w:r>
        <w:t>Mitsilegas</w:t>
      </w:r>
      <w:proofErr w:type="spellEnd"/>
      <w:r>
        <w:t xml:space="preserve">, </w:t>
      </w:r>
      <w:r w:rsidRPr="000A7D22">
        <w:t xml:space="preserve">Upholding the Rule of Law by </w:t>
      </w:r>
      <w:proofErr w:type="spellStart"/>
      <w:r w:rsidRPr="000A7D22">
        <w:t>Scrutinising</w:t>
      </w:r>
      <w:proofErr w:type="spellEnd"/>
      <w:r w:rsidRPr="000A7D22">
        <w:t xml:space="preserve"> Judicial Independence: The Irish Court’s request for a preliminary ruling on the European Arrest Warrant</w:t>
      </w:r>
      <w:r>
        <w:t xml:space="preserve">, CEPS Commentary 2018, available at: </w:t>
      </w:r>
      <w:hyperlink r:id="rId4" w:history="1">
        <w:r w:rsidRPr="007C0117">
          <w:rPr>
            <w:rStyle w:val="Hyperlink"/>
          </w:rPr>
          <w:t>https://www.ceps.eu/system/files/SCandVM_ROL.pdf</w:t>
        </w:r>
      </w:hyperlink>
      <w:r>
        <w:t xml:space="preserve"> </w:t>
      </w:r>
    </w:p>
  </w:footnote>
  <w:footnote w:id="69">
    <w:p w14:paraId="5D941E1C" w14:textId="0D96747F" w:rsidR="003D4C37" w:rsidRPr="0094545D" w:rsidRDefault="003D4C37" w:rsidP="00EB2ABD">
      <w:pPr>
        <w:pStyle w:val="FootnoteText"/>
        <w:jc w:val="both"/>
        <w:rPr>
          <w:lang w:val="en-GB"/>
        </w:rPr>
      </w:pPr>
      <w:r>
        <w:rPr>
          <w:rStyle w:val="FootnoteReference"/>
        </w:rPr>
        <w:footnoteRef/>
      </w:r>
      <w:r>
        <w:t xml:space="preserve"> </w:t>
      </w:r>
      <w:r>
        <w:rPr>
          <w:lang w:val="en-GB"/>
        </w:rPr>
        <w:t xml:space="preserve">For an early appraisal see, </w:t>
      </w:r>
      <w:r w:rsidRPr="00EB2ABD">
        <w:rPr>
          <w:i/>
          <w:lang w:val="en-GB"/>
        </w:rPr>
        <w:t>inter alia</w:t>
      </w:r>
      <w:r>
        <w:rPr>
          <w:lang w:val="en-GB"/>
        </w:rPr>
        <w:t xml:space="preserve">, P. </w:t>
      </w:r>
      <w:proofErr w:type="spellStart"/>
      <w:r w:rsidRPr="008F6F8B">
        <w:rPr>
          <w:lang w:val="en-GB"/>
        </w:rPr>
        <w:t>Bárd</w:t>
      </w:r>
      <w:proofErr w:type="spellEnd"/>
      <w:r>
        <w:rPr>
          <w:lang w:val="en-GB"/>
        </w:rPr>
        <w:t>,</w:t>
      </w:r>
      <w:r w:rsidRPr="008F6F8B">
        <w:rPr>
          <w:lang w:val="en-GB"/>
        </w:rPr>
        <w:t xml:space="preserve"> </w:t>
      </w:r>
      <w:r>
        <w:rPr>
          <w:lang w:val="en-GB"/>
        </w:rPr>
        <w:t xml:space="preserve">W. </w:t>
      </w:r>
      <w:r w:rsidRPr="008F6F8B">
        <w:rPr>
          <w:lang w:val="en-GB"/>
        </w:rPr>
        <w:t xml:space="preserve">van </w:t>
      </w:r>
      <w:proofErr w:type="spellStart"/>
      <w:r w:rsidRPr="008F6F8B">
        <w:rPr>
          <w:lang w:val="en-GB"/>
        </w:rPr>
        <w:t>Ballegooij</w:t>
      </w:r>
      <w:proofErr w:type="spellEnd"/>
      <w:r>
        <w:rPr>
          <w:lang w:val="en-GB"/>
        </w:rPr>
        <w:t xml:space="preserve">, </w:t>
      </w:r>
      <w:r w:rsidRPr="008F6F8B">
        <w:rPr>
          <w:i/>
          <w:lang w:val="en-GB"/>
        </w:rPr>
        <w:t>Judicial independence as a precondition for mutual trust? The CJEU in Minister for Justice and Equality v. LM</w:t>
      </w:r>
      <w:r>
        <w:rPr>
          <w:lang w:val="en-GB"/>
        </w:rPr>
        <w:t>, 9 NJECL (2018) pp.</w:t>
      </w:r>
      <w:r w:rsidRPr="008F6F8B">
        <w:rPr>
          <w:lang w:val="en-GB"/>
        </w:rPr>
        <w:t xml:space="preserve"> 353–365</w:t>
      </w:r>
      <w:r>
        <w:rPr>
          <w:lang w:val="en-GB"/>
        </w:rPr>
        <w:t>.</w:t>
      </w:r>
    </w:p>
  </w:footnote>
  <w:footnote w:id="70">
    <w:p w14:paraId="14D20E29" w14:textId="38816413" w:rsidR="003D4C37" w:rsidRPr="00DA626E" w:rsidRDefault="003D4C37">
      <w:pPr>
        <w:pStyle w:val="FootnoteText"/>
        <w:rPr>
          <w:lang w:val="en-GB"/>
        </w:rPr>
      </w:pPr>
      <w:r>
        <w:rPr>
          <w:rStyle w:val="FootnoteReference"/>
        </w:rPr>
        <w:footnoteRef/>
      </w:r>
      <w:r>
        <w:t xml:space="preserve"> </w:t>
      </w:r>
      <w:r>
        <w:rPr>
          <w:lang w:val="en-GB"/>
        </w:rPr>
        <w:t xml:space="preserve">Para. 73 of the judgment. </w:t>
      </w:r>
    </w:p>
  </w:footnote>
  <w:footnote w:id="71">
    <w:p w14:paraId="5A7FB4FB" w14:textId="4ED34646" w:rsidR="003D4C37" w:rsidRPr="00BF0D8D" w:rsidRDefault="003D4C37" w:rsidP="00BF0D8D">
      <w:pPr>
        <w:pStyle w:val="FootnoteText"/>
        <w:jc w:val="both"/>
        <w:rPr>
          <w:lang w:val="en-GB"/>
        </w:rPr>
      </w:pPr>
      <w:r>
        <w:rPr>
          <w:rStyle w:val="FootnoteReference"/>
        </w:rPr>
        <w:footnoteRef/>
      </w:r>
      <w:r>
        <w:t xml:space="preserve"> </w:t>
      </w:r>
      <w:r>
        <w:rPr>
          <w:lang w:val="en-GB"/>
        </w:rPr>
        <w:t>For an academic appraisal of the principle of conferral</w:t>
      </w:r>
      <w:r w:rsidR="00D0683D">
        <w:rPr>
          <w:lang w:val="en-GB"/>
        </w:rPr>
        <w:t xml:space="preserve"> after entry into force of the Treaty of Lisbon</w:t>
      </w:r>
      <w:r>
        <w:rPr>
          <w:lang w:val="en-GB"/>
        </w:rPr>
        <w:t xml:space="preserve"> see, </w:t>
      </w:r>
      <w:r w:rsidRPr="00BF0D8D">
        <w:rPr>
          <w:i/>
          <w:lang w:val="en-GB"/>
        </w:rPr>
        <w:t>inter alia</w:t>
      </w:r>
      <w:r>
        <w:rPr>
          <w:lang w:val="en-GB"/>
        </w:rPr>
        <w:t xml:space="preserve">, </w:t>
      </w:r>
      <w:r w:rsidR="00D0683D" w:rsidRPr="008B6E3F">
        <w:t xml:space="preserve">G. Davies, </w:t>
      </w:r>
      <w:r w:rsidR="00D0683D" w:rsidRPr="008B6E3F">
        <w:rPr>
          <w:i/>
        </w:rPr>
        <w:t>The post-</w:t>
      </w:r>
      <w:proofErr w:type="spellStart"/>
      <w:r w:rsidR="00D0683D" w:rsidRPr="008B6E3F">
        <w:rPr>
          <w:i/>
        </w:rPr>
        <w:t>Laeken</w:t>
      </w:r>
      <w:proofErr w:type="spellEnd"/>
      <w:r w:rsidR="00D0683D" w:rsidRPr="008B6E3F">
        <w:rPr>
          <w:i/>
        </w:rPr>
        <w:t xml:space="preserve"> division of competences</w:t>
      </w:r>
      <w:r w:rsidR="00D0683D">
        <w:t xml:space="preserve">, 28 </w:t>
      </w:r>
      <w:proofErr w:type="spellStart"/>
      <w:r w:rsidR="00D0683D">
        <w:t>ELRev</w:t>
      </w:r>
      <w:proofErr w:type="spellEnd"/>
      <w:r w:rsidR="00D0683D">
        <w:t xml:space="preserve"> (2003) pp. 686-698; </w:t>
      </w:r>
      <w:r w:rsidR="00D0683D" w:rsidRPr="008B6E3F">
        <w:t xml:space="preserve">M. Dougan, </w:t>
      </w:r>
      <w:r w:rsidR="00D0683D" w:rsidRPr="008B6E3F">
        <w:rPr>
          <w:i/>
        </w:rPr>
        <w:t>The Convention’s draft Constitutional Treaty: bringing Europe closer to its lawyers?</w:t>
      </w:r>
      <w:r w:rsidR="00D0683D" w:rsidRPr="008B6E3F">
        <w:t xml:space="preserve">, 28 </w:t>
      </w:r>
      <w:proofErr w:type="spellStart"/>
      <w:r w:rsidR="00D0683D" w:rsidRPr="008B6E3F">
        <w:t>ELRev</w:t>
      </w:r>
      <w:proofErr w:type="spellEnd"/>
      <w:r w:rsidR="00D0683D" w:rsidRPr="008B6E3F">
        <w:t xml:space="preserve"> (2003) pp. 763-793; P. Craig, </w:t>
      </w:r>
      <w:r w:rsidR="00D0683D" w:rsidRPr="008B6E3F">
        <w:rPr>
          <w:i/>
        </w:rPr>
        <w:t>Competence: clarity, conferral, containment and consideration</w:t>
      </w:r>
      <w:r w:rsidR="00D0683D" w:rsidRPr="008B6E3F">
        <w:t xml:space="preserve">, 29 </w:t>
      </w:r>
      <w:proofErr w:type="spellStart"/>
      <w:r w:rsidR="00D0683D" w:rsidRPr="008B6E3F">
        <w:t>ELRev</w:t>
      </w:r>
      <w:proofErr w:type="spellEnd"/>
      <w:r w:rsidR="00D0683D" w:rsidRPr="008B6E3F">
        <w:t xml:space="preserve"> (2004) pp. 323-344; T. </w:t>
      </w:r>
      <w:proofErr w:type="spellStart"/>
      <w:r w:rsidR="00D0683D" w:rsidRPr="008B6E3F">
        <w:t>Tridimas</w:t>
      </w:r>
      <w:proofErr w:type="spellEnd"/>
      <w:r w:rsidR="00D0683D" w:rsidRPr="008B6E3F">
        <w:t xml:space="preserve">, </w:t>
      </w:r>
      <w:r w:rsidR="00D0683D" w:rsidRPr="008B6E3F">
        <w:rPr>
          <w:i/>
        </w:rPr>
        <w:t>Competence after Lisbon. The elusive search for bright lines</w:t>
      </w:r>
      <w:r w:rsidR="00D0683D" w:rsidRPr="008B6E3F">
        <w:t xml:space="preserve">, in D. </w:t>
      </w:r>
      <w:proofErr w:type="spellStart"/>
      <w:r w:rsidR="00D0683D" w:rsidRPr="008B6E3F">
        <w:t>Ashiagbor</w:t>
      </w:r>
      <w:proofErr w:type="spellEnd"/>
      <w:r w:rsidR="00D0683D" w:rsidRPr="008B6E3F">
        <w:t xml:space="preserve">, N. </w:t>
      </w:r>
      <w:proofErr w:type="spellStart"/>
      <w:r w:rsidR="00D0683D" w:rsidRPr="008B6E3F">
        <w:t>Countouris</w:t>
      </w:r>
      <w:proofErr w:type="spellEnd"/>
      <w:r w:rsidR="00D0683D" w:rsidRPr="008B6E3F">
        <w:t xml:space="preserve">, I. </w:t>
      </w:r>
      <w:proofErr w:type="spellStart"/>
      <w:r w:rsidR="00D0683D" w:rsidRPr="008B6E3F">
        <w:t>Lianos</w:t>
      </w:r>
      <w:proofErr w:type="spellEnd"/>
      <w:r w:rsidR="00D0683D" w:rsidRPr="008B6E3F">
        <w:t xml:space="preserve"> (</w:t>
      </w:r>
      <w:proofErr w:type="spellStart"/>
      <w:r w:rsidR="00D0683D" w:rsidRPr="008B6E3F">
        <w:t>eds</w:t>
      </w:r>
      <w:proofErr w:type="spellEnd"/>
      <w:r w:rsidR="00D0683D" w:rsidRPr="008B6E3F">
        <w:t xml:space="preserve">), </w:t>
      </w:r>
      <w:r w:rsidR="00D0683D" w:rsidRPr="008B6E3F">
        <w:rPr>
          <w:i/>
        </w:rPr>
        <w:t>The European Union after the Treaty of Lisbon</w:t>
      </w:r>
      <w:r w:rsidR="00D0683D" w:rsidRPr="008B6E3F">
        <w:t xml:space="preserve">, Cambridge 2012, pp. 50-51, M. Dougan, </w:t>
      </w:r>
      <w:r w:rsidR="00D0683D" w:rsidRPr="008B6E3F">
        <w:rPr>
          <w:i/>
        </w:rPr>
        <w:t>The Treaty of Lisbon 2007: Winning Minds not Hearts</w:t>
      </w:r>
      <w:r w:rsidR="00D0683D">
        <w:t xml:space="preserve">, 45 </w:t>
      </w:r>
      <w:proofErr w:type="spellStart"/>
      <w:r w:rsidR="00D0683D">
        <w:t>CMLRev</w:t>
      </w:r>
      <w:proofErr w:type="spellEnd"/>
      <w:r w:rsidR="00D0683D">
        <w:t xml:space="preserve">. (2008) pp. 617-703; M. </w:t>
      </w:r>
      <w:proofErr w:type="spellStart"/>
      <w:r w:rsidR="00D0683D">
        <w:t>Claes</w:t>
      </w:r>
      <w:proofErr w:type="spellEnd"/>
      <w:r w:rsidR="00D0683D">
        <w:t xml:space="preserve">, B. de Witte, </w:t>
      </w:r>
      <w:r w:rsidR="00D0683D" w:rsidRPr="00757630">
        <w:rPr>
          <w:i/>
        </w:rPr>
        <w:t>Competences: Codification and Contestation</w:t>
      </w:r>
      <w:r w:rsidR="00D0683D">
        <w:t>, in: A. Ł</w:t>
      </w:r>
      <w:proofErr w:type="spellStart"/>
      <w:r w:rsidR="00D0683D">
        <w:rPr>
          <w:lang w:val="en-GB"/>
        </w:rPr>
        <w:t>azowski</w:t>
      </w:r>
      <w:proofErr w:type="spellEnd"/>
      <w:r w:rsidR="00D0683D">
        <w:rPr>
          <w:lang w:val="en-GB"/>
        </w:rPr>
        <w:t xml:space="preserve">, S. </w:t>
      </w:r>
      <w:proofErr w:type="spellStart"/>
      <w:r w:rsidR="00D0683D">
        <w:rPr>
          <w:lang w:val="en-GB"/>
        </w:rPr>
        <w:t>Blockmans</w:t>
      </w:r>
      <w:proofErr w:type="spellEnd"/>
      <w:r w:rsidR="00D0683D">
        <w:rPr>
          <w:lang w:val="en-GB"/>
        </w:rPr>
        <w:t xml:space="preserve"> (</w:t>
      </w:r>
      <w:proofErr w:type="spellStart"/>
      <w:r w:rsidR="00D0683D">
        <w:rPr>
          <w:lang w:val="en-GB"/>
        </w:rPr>
        <w:t>eds</w:t>
      </w:r>
      <w:proofErr w:type="spellEnd"/>
      <w:r w:rsidR="00D0683D">
        <w:rPr>
          <w:lang w:val="en-GB"/>
        </w:rPr>
        <w:t xml:space="preserve">), </w:t>
      </w:r>
      <w:r w:rsidR="00D0683D" w:rsidRPr="00757630">
        <w:rPr>
          <w:i/>
          <w:lang w:val="en-GB"/>
        </w:rPr>
        <w:t>Research Handbook on EU Institutional Law</w:t>
      </w:r>
      <w:r w:rsidR="00D0683D">
        <w:rPr>
          <w:lang w:val="en-GB"/>
        </w:rPr>
        <w:t>, Cheltenham 2016, pp. 46-87.</w:t>
      </w:r>
    </w:p>
  </w:footnote>
  <w:footnote w:id="72">
    <w:p w14:paraId="51134055" w14:textId="3C9A7CF8" w:rsidR="003D4C37" w:rsidRPr="008F48E5" w:rsidRDefault="003D4C37">
      <w:pPr>
        <w:pStyle w:val="FootnoteText"/>
        <w:rPr>
          <w:lang w:val="en-GB"/>
        </w:rPr>
      </w:pPr>
      <w:r>
        <w:rPr>
          <w:rStyle w:val="FootnoteReference"/>
        </w:rPr>
        <w:footnoteRef/>
      </w:r>
      <w:r>
        <w:t xml:space="preserve"> </w:t>
      </w:r>
      <w:r w:rsidR="006D5E1B">
        <w:t>C</w:t>
      </w:r>
      <w:r w:rsidR="00FB4D8D" w:rsidRPr="00EF2246">
        <w:t xml:space="preserve">ase C-64/16 </w:t>
      </w:r>
      <w:proofErr w:type="spellStart"/>
      <w:r w:rsidR="00FB4D8D" w:rsidRPr="00E327BE">
        <w:rPr>
          <w:i/>
        </w:rPr>
        <w:t>Associação</w:t>
      </w:r>
      <w:proofErr w:type="spellEnd"/>
      <w:r w:rsidR="00FB4D8D" w:rsidRPr="00E327BE">
        <w:rPr>
          <w:i/>
        </w:rPr>
        <w:t xml:space="preserve"> </w:t>
      </w:r>
      <w:proofErr w:type="spellStart"/>
      <w:r w:rsidR="00FB4D8D" w:rsidRPr="00E327BE">
        <w:rPr>
          <w:i/>
        </w:rPr>
        <w:t>Sindical</w:t>
      </w:r>
      <w:proofErr w:type="spellEnd"/>
      <w:r w:rsidR="00FB4D8D" w:rsidRPr="00E327BE">
        <w:rPr>
          <w:i/>
        </w:rPr>
        <w:t xml:space="preserve"> dos </w:t>
      </w:r>
      <w:proofErr w:type="spellStart"/>
      <w:r w:rsidR="00FB4D8D" w:rsidRPr="00E327BE">
        <w:rPr>
          <w:i/>
        </w:rPr>
        <w:t>Juízes</w:t>
      </w:r>
      <w:proofErr w:type="spellEnd"/>
      <w:r w:rsidR="00FB4D8D" w:rsidRPr="00E327BE">
        <w:rPr>
          <w:i/>
        </w:rPr>
        <w:t xml:space="preserve"> </w:t>
      </w:r>
      <w:proofErr w:type="spellStart"/>
      <w:r w:rsidR="00FB4D8D" w:rsidRPr="00E327BE">
        <w:rPr>
          <w:i/>
        </w:rPr>
        <w:t>Portugueses</w:t>
      </w:r>
      <w:proofErr w:type="spellEnd"/>
      <w:r w:rsidR="00FB4D8D" w:rsidRPr="00E327BE">
        <w:rPr>
          <w:i/>
        </w:rPr>
        <w:t xml:space="preserve"> v Tribunal de </w:t>
      </w:r>
      <w:proofErr w:type="spellStart"/>
      <w:r w:rsidR="00FB4D8D" w:rsidRPr="00E327BE">
        <w:rPr>
          <w:i/>
        </w:rPr>
        <w:t>Contas</w:t>
      </w:r>
      <w:proofErr w:type="spellEnd"/>
      <w:r w:rsidR="00FB4D8D">
        <w:t xml:space="preserve">, </w:t>
      </w:r>
      <w:r w:rsidR="00FB4D8D" w:rsidRPr="00E327BE">
        <w:t>ECLI:EU:C:2018:117</w:t>
      </w:r>
      <w:r w:rsidR="00FB4D8D">
        <w:t xml:space="preserve">. </w:t>
      </w:r>
    </w:p>
  </w:footnote>
  <w:footnote w:id="73">
    <w:p w14:paraId="610A1D3F" w14:textId="0AD10D3E" w:rsidR="003D4C37" w:rsidRPr="008F48E5" w:rsidRDefault="003D4C37" w:rsidP="00FB4D8D">
      <w:pPr>
        <w:pStyle w:val="FootnoteText"/>
        <w:jc w:val="both"/>
        <w:rPr>
          <w:lang w:val="en-GB"/>
        </w:rPr>
      </w:pPr>
      <w:r>
        <w:rPr>
          <w:rStyle w:val="FootnoteReference"/>
        </w:rPr>
        <w:footnoteRef/>
      </w:r>
      <w:r>
        <w:t xml:space="preserve"> </w:t>
      </w:r>
      <w:r w:rsidR="00FB4D8D" w:rsidRPr="007C1CFB">
        <w:t>M</w:t>
      </w:r>
      <w:r w:rsidR="00FB4D8D">
        <w:t>.</w:t>
      </w:r>
      <w:r w:rsidR="00FB4D8D" w:rsidRPr="007C1CFB">
        <w:t xml:space="preserve"> </w:t>
      </w:r>
      <w:proofErr w:type="spellStart"/>
      <w:r w:rsidR="00FB4D8D" w:rsidRPr="007C1CFB">
        <w:t>Bonelli</w:t>
      </w:r>
      <w:proofErr w:type="spellEnd"/>
      <w:r w:rsidR="00FB4D8D" w:rsidRPr="007C1CFB">
        <w:t xml:space="preserve"> and M</w:t>
      </w:r>
      <w:r w:rsidR="00FB4D8D">
        <w:t>.</w:t>
      </w:r>
      <w:r w:rsidR="00FB4D8D" w:rsidRPr="007C1CFB">
        <w:t xml:space="preserve"> </w:t>
      </w:r>
      <w:proofErr w:type="spellStart"/>
      <w:r w:rsidR="00FB4D8D" w:rsidRPr="007C1CFB">
        <w:t>Claes</w:t>
      </w:r>
      <w:proofErr w:type="spellEnd"/>
      <w:r w:rsidR="00FB4D8D">
        <w:t xml:space="preserve">, </w:t>
      </w:r>
      <w:r w:rsidR="00FB4D8D" w:rsidRPr="0010102D">
        <w:rPr>
          <w:i/>
        </w:rPr>
        <w:t xml:space="preserve">Judicial serendipity: how Portuguese judges came to the rescue of the Polish judiciary: ECJ 27 February 2018, Case C-64/16, </w:t>
      </w:r>
      <w:proofErr w:type="spellStart"/>
      <w:r w:rsidR="00FB4D8D" w:rsidRPr="0010102D">
        <w:rPr>
          <w:i/>
        </w:rPr>
        <w:t>Associação</w:t>
      </w:r>
      <w:proofErr w:type="spellEnd"/>
      <w:r w:rsidR="00FB4D8D" w:rsidRPr="0010102D">
        <w:rPr>
          <w:i/>
        </w:rPr>
        <w:t xml:space="preserve"> </w:t>
      </w:r>
      <w:proofErr w:type="spellStart"/>
      <w:r w:rsidR="00FB4D8D" w:rsidRPr="0010102D">
        <w:rPr>
          <w:i/>
        </w:rPr>
        <w:t>Sindical</w:t>
      </w:r>
      <w:proofErr w:type="spellEnd"/>
      <w:r w:rsidR="00FB4D8D" w:rsidRPr="0010102D">
        <w:rPr>
          <w:i/>
        </w:rPr>
        <w:t xml:space="preserve"> dos </w:t>
      </w:r>
      <w:proofErr w:type="spellStart"/>
      <w:r w:rsidR="00FB4D8D" w:rsidRPr="0010102D">
        <w:rPr>
          <w:i/>
        </w:rPr>
        <w:t>Juízes</w:t>
      </w:r>
      <w:proofErr w:type="spellEnd"/>
      <w:r w:rsidR="00FB4D8D" w:rsidRPr="0010102D">
        <w:rPr>
          <w:i/>
        </w:rPr>
        <w:t xml:space="preserve"> </w:t>
      </w:r>
      <w:proofErr w:type="spellStart"/>
      <w:r w:rsidR="00FB4D8D" w:rsidRPr="0010102D">
        <w:rPr>
          <w:i/>
        </w:rPr>
        <w:t>Portugueses</w:t>
      </w:r>
      <w:proofErr w:type="spellEnd"/>
      <w:r w:rsidR="00FB4D8D">
        <w:t xml:space="preserve">, 14 </w:t>
      </w:r>
      <w:proofErr w:type="spellStart"/>
      <w:r w:rsidR="00FB4D8D">
        <w:t>EUConst</w:t>
      </w:r>
      <w:proofErr w:type="spellEnd"/>
      <w:r w:rsidR="00FB4D8D">
        <w:t xml:space="preserve"> (2018) pp. </w:t>
      </w:r>
      <w:r w:rsidR="00FB4D8D" w:rsidRPr="0010102D">
        <w:t>622-643</w:t>
      </w:r>
      <w:r w:rsidR="00FB4D8D">
        <w:t>.</w:t>
      </w:r>
    </w:p>
  </w:footnote>
  <w:footnote w:id="74">
    <w:p w14:paraId="1AE57CF8" w14:textId="71FC1190" w:rsidR="003D4C37" w:rsidRPr="00437BBC" w:rsidRDefault="003D4C37" w:rsidP="00E4187E">
      <w:pPr>
        <w:pStyle w:val="FootnoteText"/>
        <w:jc w:val="both"/>
        <w:rPr>
          <w:lang w:val="en-GB"/>
        </w:rPr>
      </w:pPr>
      <w:r>
        <w:rPr>
          <w:rStyle w:val="FootnoteReference"/>
        </w:rPr>
        <w:footnoteRef/>
      </w:r>
      <w:r>
        <w:t xml:space="preserve"> See further, </w:t>
      </w:r>
      <w:r w:rsidRPr="00E4187E">
        <w:rPr>
          <w:i/>
        </w:rPr>
        <w:t>inter alia</w:t>
      </w:r>
      <w:r>
        <w:t xml:space="preserve">, A. Ward, </w:t>
      </w:r>
      <w:r w:rsidRPr="00E4187E">
        <w:rPr>
          <w:i/>
        </w:rPr>
        <w:t>Article 47</w:t>
      </w:r>
      <w:r>
        <w:t xml:space="preserve">, in </w:t>
      </w:r>
      <w:r w:rsidRPr="00E4187E">
        <w:t>S. Peers, T. Hervey, J. Kenner, A. Ward (</w:t>
      </w:r>
      <w:proofErr w:type="spellStart"/>
      <w:r w:rsidRPr="00E4187E">
        <w:t>eds</w:t>
      </w:r>
      <w:proofErr w:type="spellEnd"/>
      <w:r w:rsidRPr="00E4187E">
        <w:t xml:space="preserve">), </w:t>
      </w:r>
      <w:r w:rsidRPr="00E4187E">
        <w:rPr>
          <w:i/>
        </w:rPr>
        <w:t>The EU Charter of Fundamental Rights. A Commentary</w:t>
      </w:r>
      <w:r w:rsidRPr="00E4187E">
        <w:t xml:space="preserve">, Oxford and Portland, Oregon 2014, pp. </w:t>
      </w:r>
      <w:r>
        <w:t>1197-1275.</w:t>
      </w:r>
    </w:p>
  </w:footnote>
  <w:footnote w:id="75">
    <w:p w14:paraId="13B7E18C" w14:textId="05A838D5" w:rsidR="003D4C37" w:rsidRPr="0095428F" w:rsidRDefault="003D4C37" w:rsidP="006D5E1B">
      <w:pPr>
        <w:pStyle w:val="FootnoteText"/>
        <w:jc w:val="both"/>
        <w:rPr>
          <w:lang w:val="en-GB"/>
        </w:rPr>
      </w:pPr>
      <w:r>
        <w:rPr>
          <w:rStyle w:val="FootnoteReference"/>
        </w:rPr>
        <w:footnoteRef/>
      </w:r>
      <w:r>
        <w:t xml:space="preserve"> </w:t>
      </w:r>
      <w:r>
        <w:rPr>
          <w:lang w:val="en-GB"/>
        </w:rPr>
        <w:t xml:space="preserve">Para. 50 of the judgment. </w:t>
      </w:r>
    </w:p>
  </w:footnote>
  <w:footnote w:id="76">
    <w:p w14:paraId="108C6AD4" w14:textId="33C7F065" w:rsidR="003D4C37" w:rsidRPr="007A6F66" w:rsidRDefault="003D4C37">
      <w:pPr>
        <w:pStyle w:val="FootnoteText"/>
        <w:rPr>
          <w:lang w:val="en-GB"/>
        </w:rPr>
      </w:pPr>
      <w:r>
        <w:rPr>
          <w:rStyle w:val="FootnoteReference"/>
        </w:rPr>
        <w:footnoteRef/>
      </w:r>
      <w:r>
        <w:t xml:space="preserve"> </w:t>
      </w:r>
      <w:r>
        <w:rPr>
          <w:lang w:val="en-GB"/>
        </w:rPr>
        <w:t>Paras. 63-65 of the judgment.</w:t>
      </w:r>
    </w:p>
  </w:footnote>
  <w:footnote w:id="77">
    <w:p w14:paraId="379C6BA3" w14:textId="510E3D51" w:rsidR="003D4C37" w:rsidRPr="00A11B0F" w:rsidRDefault="003D4C37">
      <w:pPr>
        <w:pStyle w:val="FootnoteText"/>
        <w:rPr>
          <w:lang w:val="en-GB"/>
        </w:rPr>
      </w:pPr>
      <w:r>
        <w:rPr>
          <w:rStyle w:val="FootnoteReference"/>
        </w:rPr>
        <w:footnoteRef/>
      </w:r>
      <w:r>
        <w:t xml:space="preserve"> </w:t>
      </w:r>
      <w:r>
        <w:rPr>
          <w:lang w:val="en-GB"/>
        </w:rPr>
        <w:t>Para. 68 of the judgment.</w:t>
      </w:r>
    </w:p>
  </w:footnote>
  <w:footnote w:id="78">
    <w:p w14:paraId="585488F0" w14:textId="1191B97F" w:rsidR="003D4C37" w:rsidRPr="004348A1" w:rsidRDefault="003D4C37" w:rsidP="009D7CFC">
      <w:pPr>
        <w:pStyle w:val="FootnoteText"/>
        <w:jc w:val="both"/>
        <w:rPr>
          <w:lang w:val="en-GB"/>
        </w:rPr>
      </w:pPr>
      <w:r>
        <w:rPr>
          <w:rStyle w:val="FootnoteReference"/>
        </w:rPr>
        <w:footnoteRef/>
      </w:r>
      <w:r>
        <w:t xml:space="preserve"> </w:t>
      </w:r>
      <w:r w:rsidR="009D7CFC">
        <w:t xml:space="preserve">Opinion of Advocate General </w:t>
      </w:r>
      <w:proofErr w:type="spellStart"/>
      <w:r w:rsidR="009D7CFC">
        <w:t>Tanchev</w:t>
      </w:r>
      <w:proofErr w:type="spellEnd"/>
      <w:r w:rsidR="009D7CFC">
        <w:t xml:space="preserve"> delivered on 28 June 2018 in Case C‑216/18 PPU Minister for Justice and Equality v LM (Deficiencies in the system of justice), </w:t>
      </w:r>
      <w:r w:rsidR="009D7CFC" w:rsidRPr="009D7CFC">
        <w:t>ECLI:EU:C:2018:517</w:t>
      </w:r>
      <w:r w:rsidR="009D7CFC">
        <w:t>.</w:t>
      </w:r>
    </w:p>
  </w:footnote>
  <w:footnote w:id="79">
    <w:p w14:paraId="6A87D67A" w14:textId="19EFF8C5" w:rsidR="003D4C37" w:rsidRPr="00721E6F" w:rsidRDefault="003D4C37">
      <w:pPr>
        <w:pStyle w:val="FootnoteText"/>
        <w:rPr>
          <w:lang w:val="en-GB"/>
        </w:rPr>
      </w:pPr>
      <w:r>
        <w:rPr>
          <w:rStyle w:val="FootnoteReference"/>
        </w:rPr>
        <w:footnoteRef/>
      </w:r>
      <w:r>
        <w:t xml:space="preserve"> </w:t>
      </w:r>
      <w:r>
        <w:rPr>
          <w:lang w:val="en-GB"/>
        </w:rPr>
        <w:t>Para. 61 of the judgment.</w:t>
      </w:r>
    </w:p>
  </w:footnote>
  <w:footnote w:id="80">
    <w:p w14:paraId="5E51AB4A" w14:textId="53EEB9ED" w:rsidR="003D4C37" w:rsidRPr="00FF0039" w:rsidRDefault="003D4C37" w:rsidP="00071690">
      <w:pPr>
        <w:pStyle w:val="FootnoteText"/>
        <w:jc w:val="both"/>
        <w:rPr>
          <w:lang w:val="en-GB"/>
        </w:rPr>
      </w:pPr>
      <w:r>
        <w:rPr>
          <w:rStyle w:val="FootnoteReference"/>
        </w:rPr>
        <w:footnoteRef/>
      </w:r>
      <w:r>
        <w:t xml:space="preserve"> </w:t>
      </w:r>
      <w:r w:rsidR="00071690">
        <w:t xml:space="preserve">See </w:t>
      </w:r>
      <w:r w:rsidR="00071690" w:rsidRPr="00071690">
        <w:rPr>
          <w:i/>
        </w:rPr>
        <w:t>loc. cit.</w:t>
      </w:r>
      <w:r w:rsidR="00071690">
        <w:t xml:space="preserve"> n. 57.</w:t>
      </w:r>
    </w:p>
  </w:footnote>
  <w:footnote w:id="81">
    <w:p w14:paraId="1271AA80" w14:textId="460C7D4B" w:rsidR="003D4C37" w:rsidRPr="003D44F5" w:rsidRDefault="003D4C37" w:rsidP="006E26AF">
      <w:pPr>
        <w:pStyle w:val="FootnoteText"/>
        <w:jc w:val="both"/>
        <w:rPr>
          <w:lang w:val="en-GB"/>
        </w:rPr>
      </w:pPr>
      <w:r>
        <w:rPr>
          <w:rStyle w:val="FootnoteReference"/>
        </w:rPr>
        <w:footnoteRef/>
      </w:r>
      <w:r>
        <w:t xml:space="preserve"> </w:t>
      </w:r>
      <w:r w:rsidR="006E26AF">
        <w:t xml:space="preserve">See Irish High Court, </w:t>
      </w:r>
      <w:r w:rsidR="006E26AF" w:rsidRPr="006E26AF">
        <w:rPr>
          <w:i/>
          <w:lang w:val="en-GB"/>
        </w:rPr>
        <w:t xml:space="preserve">Minister for Justice and Equality -v- </w:t>
      </w:r>
      <w:proofErr w:type="spellStart"/>
      <w:r w:rsidR="006E26AF" w:rsidRPr="006E26AF">
        <w:rPr>
          <w:i/>
          <w:lang w:val="en-GB"/>
        </w:rPr>
        <w:t>Celmer</w:t>
      </w:r>
      <w:proofErr w:type="spellEnd"/>
      <w:r w:rsidR="006E26AF" w:rsidRPr="006E26AF">
        <w:rPr>
          <w:i/>
          <w:lang w:val="en-GB"/>
        </w:rPr>
        <w:t xml:space="preserve"> (No.4)</w:t>
      </w:r>
      <w:r w:rsidR="006E26AF">
        <w:rPr>
          <w:lang w:val="en-GB"/>
        </w:rPr>
        <w:t xml:space="preserve">, judgment of 1 August 2018, </w:t>
      </w:r>
      <w:r w:rsidR="006E26AF" w:rsidRPr="006E26AF">
        <w:rPr>
          <w:lang w:val="en-GB"/>
        </w:rPr>
        <w:t>[2018] IEHC 484</w:t>
      </w:r>
      <w:r w:rsidR="006E26AF">
        <w:rPr>
          <w:lang w:val="en-GB"/>
        </w:rPr>
        <w:t>.</w:t>
      </w:r>
    </w:p>
  </w:footnote>
  <w:footnote w:id="82">
    <w:p w14:paraId="21079BFA" w14:textId="57218094" w:rsidR="003D4C37" w:rsidRPr="00E95F9E" w:rsidRDefault="003D4C37">
      <w:pPr>
        <w:pStyle w:val="FootnoteText"/>
        <w:rPr>
          <w:lang w:val="en-GB"/>
        </w:rPr>
      </w:pPr>
      <w:r>
        <w:rPr>
          <w:rStyle w:val="FootnoteReference"/>
        </w:rPr>
        <w:footnoteRef/>
      </w:r>
      <w:r>
        <w:t xml:space="preserve"> </w:t>
      </w:r>
      <w:r>
        <w:rPr>
          <w:lang w:val="en-GB"/>
        </w:rPr>
        <w:t>Para. 77 of the judgment.</w:t>
      </w:r>
    </w:p>
  </w:footnote>
  <w:footnote w:id="83">
    <w:p w14:paraId="7675C1BC" w14:textId="081DB85A" w:rsidR="003D4C37" w:rsidRPr="00611587" w:rsidRDefault="003D4C37">
      <w:pPr>
        <w:pStyle w:val="FootnoteText"/>
        <w:rPr>
          <w:lang w:val="en-GB"/>
        </w:rPr>
      </w:pPr>
      <w:r>
        <w:rPr>
          <w:rStyle w:val="FootnoteReference"/>
        </w:rPr>
        <w:footnoteRef/>
      </w:r>
      <w:r>
        <w:t xml:space="preserve"> </w:t>
      </w:r>
      <w:r>
        <w:rPr>
          <w:lang w:val="en-GB"/>
        </w:rPr>
        <w:t>Para. 77 of the judgment.</w:t>
      </w:r>
    </w:p>
  </w:footnote>
  <w:footnote w:id="84">
    <w:p w14:paraId="60D26CB3" w14:textId="766157E4" w:rsidR="003D4C37" w:rsidRPr="00BE4418" w:rsidRDefault="003D4C37" w:rsidP="00B52979">
      <w:pPr>
        <w:pStyle w:val="FootnoteText"/>
        <w:jc w:val="both"/>
        <w:rPr>
          <w:lang w:val="en-GB"/>
        </w:rPr>
      </w:pPr>
      <w:r>
        <w:rPr>
          <w:rStyle w:val="FootnoteReference"/>
        </w:rPr>
        <w:footnoteRef/>
      </w:r>
      <w:r>
        <w:t xml:space="preserve"> </w:t>
      </w:r>
      <w:r w:rsidR="00B52979">
        <w:rPr>
          <w:lang w:val="en-GB"/>
        </w:rPr>
        <w:t xml:space="preserve">P. </w:t>
      </w:r>
      <w:proofErr w:type="spellStart"/>
      <w:r w:rsidR="00B52979" w:rsidRPr="008F6F8B">
        <w:rPr>
          <w:lang w:val="en-GB"/>
        </w:rPr>
        <w:t>Bárd</w:t>
      </w:r>
      <w:proofErr w:type="spellEnd"/>
      <w:r w:rsidR="00B52979">
        <w:rPr>
          <w:lang w:val="en-GB"/>
        </w:rPr>
        <w:t>,</w:t>
      </w:r>
      <w:r w:rsidR="00B52979" w:rsidRPr="008F6F8B">
        <w:rPr>
          <w:lang w:val="en-GB"/>
        </w:rPr>
        <w:t xml:space="preserve"> </w:t>
      </w:r>
      <w:r w:rsidR="00B52979">
        <w:rPr>
          <w:lang w:val="en-GB"/>
        </w:rPr>
        <w:t xml:space="preserve">W. </w:t>
      </w:r>
      <w:r w:rsidR="00B52979" w:rsidRPr="008F6F8B">
        <w:rPr>
          <w:lang w:val="en-GB"/>
        </w:rPr>
        <w:t xml:space="preserve">van </w:t>
      </w:r>
      <w:proofErr w:type="spellStart"/>
      <w:r w:rsidR="00B52979" w:rsidRPr="008F6F8B">
        <w:rPr>
          <w:lang w:val="en-GB"/>
        </w:rPr>
        <w:t>Ballegooij</w:t>
      </w:r>
      <w:proofErr w:type="spellEnd"/>
      <w:r w:rsidR="00B52979">
        <w:rPr>
          <w:lang w:val="en-GB"/>
        </w:rPr>
        <w:t xml:space="preserve">, </w:t>
      </w:r>
      <w:r w:rsidR="00B52979" w:rsidRPr="008F6F8B">
        <w:rPr>
          <w:i/>
          <w:lang w:val="en-GB"/>
        </w:rPr>
        <w:t>Judicial independence as a precondition for mutual trust? The CJEU in Minister for Justice and Equality v. LM</w:t>
      </w:r>
      <w:r w:rsidR="00B52979">
        <w:rPr>
          <w:lang w:val="en-GB"/>
        </w:rPr>
        <w:t>, 9 NJECL (2018) pp.</w:t>
      </w:r>
      <w:r w:rsidR="00B52979" w:rsidRPr="008F6F8B">
        <w:rPr>
          <w:lang w:val="en-GB"/>
        </w:rPr>
        <w:t xml:space="preserve"> 353–365</w:t>
      </w:r>
      <w:r w:rsidR="00B52979">
        <w:rPr>
          <w:lang w:val="en-GB"/>
        </w:rPr>
        <w:t>.</w:t>
      </w:r>
    </w:p>
  </w:footnote>
  <w:footnote w:id="85">
    <w:p w14:paraId="1BE1F612" w14:textId="41591176" w:rsidR="004006E4" w:rsidRPr="004006E4" w:rsidRDefault="004006E4" w:rsidP="004006E4">
      <w:pPr>
        <w:pStyle w:val="FootnoteText"/>
        <w:jc w:val="both"/>
      </w:pPr>
      <w:r>
        <w:rPr>
          <w:rStyle w:val="FootnoteReference"/>
        </w:rPr>
        <w:footnoteRef/>
      </w:r>
      <w:r>
        <w:t xml:space="preserve"> Irish High Court, </w:t>
      </w:r>
      <w:r w:rsidRPr="004006E4">
        <w:t xml:space="preserve">The Minister for Justice and Equality -v- </w:t>
      </w:r>
      <w:proofErr w:type="spellStart"/>
      <w:r w:rsidRPr="004006E4">
        <w:t>Celmer</w:t>
      </w:r>
      <w:proofErr w:type="spellEnd"/>
      <w:r w:rsidRPr="004006E4">
        <w:t xml:space="preserve"> No.5</w:t>
      </w:r>
      <w:r>
        <w:t xml:space="preserve">, 19 November 2018, </w:t>
      </w:r>
      <w:r w:rsidRPr="004006E4">
        <w:t>[2018] IEHC 639</w:t>
      </w:r>
      <w:r>
        <w:t>, at para. 123.</w:t>
      </w:r>
    </w:p>
  </w:footnote>
  <w:footnote w:id="86">
    <w:p w14:paraId="404B00BC" w14:textId="77777777" w:rsidR="00211CA2" w:rsidRPr="003A2CC3" w:rsidRDefault="00211CA2" w:rsidP="00211CA2">
      <w:pPr>
        <w:pStyle w:val="FootnoteText"/>
        <w:jc w:val="both"/>
        <w:rPr>
          <w:lang w:val="en-GB"/>
        </w:rPr>
      </w:pPr>
      <w:r>
        <w:rPr>
          <w:rStyle w:val="FootnoteReference"/>
        </w:rPr>
        <w:footnoteRef/>
      </w:r>
      <w:r>
        <w:t xml:space="preserve"> </w:t>
      </w:r>
      <w:r>
        <w:rPr>
          <w:lang w:val="en-GB"/>
        </w:rPr>
        <w:t xml:space="preserve">See, </w:t>
      </w:r>
      <w:r w:rsidRPr="008E14B0">
        <w:rPr>
          <w:i/>
          <w:lang w:val="en-GB"/>
        </w:rPr>
        <w:t>inter alia</w:t>
      </w:r>
      <w:r>
        <w:rPr>
          <w:lang w:val="en-GB"/>
        </w:rPr>
        <w:t xml:space="preserve">, V. </w:t>
      </w:r>
      <w:proofErr w:type="spellStart"/>
      <w:r>
        <w:rPr>
          <w:lang w:val="en-GB"/>
        </w:rPr>
        <w:t>Mitsilegas</w:t>
      </w:r>
      <w:proofErr w:type="spellEnd"/>
      <w:r>
        <w:rPr>
          <w:lang w:val="en-GB"/>
        </w:rPr>
        <w:t xml:space="preserve">, </w:t>
      </w:r>
      <w:r w:rsidRPr="008E14B0">
        <w:rPr>
          <w:i/>
          <w:lang w:val="en-GB"/>
        </w:rPr>
        <w:t>Cross-Border Criminal Cooperation after Brexit</w:t>
      </w:r>
      <w:r>
        <w:rPr>
          <w:lang w:val="en-GB"/>
        </w:rPr>
        <w:t xml:space="preserve">, in: M. Dougan (ed.), </w:t>
      </w:r>
      <w:r w:rsidRPr="008E14B0">
        <w:rPr>
          <w:i/>
          <w:lang w:val="en-GB"/>
        </w:rPr>
        <w:t>The UK after Brexit. Legal and Policy Challenges</w:t>
      </w:r>
      <w:r>
        <w:rPr>
          <w:lang w:val="en-GB"/>
        </w:rPr>
        <w:t xml:space="preserve">, Cambridge-Antwerp-Portland 2017, pp. 203-221; A. </w:t>
      </w:r>
      <w:proofErr w:type="spellStart"/>
      <w:r>
        <w:rPr>
          <w:lang w:val="en-GB"/>
        </w:rPr>
        <w:t>Weyembergh</w:t>
      </w:r>
      <w:proofErr w:type="spellEnd"/>
      <w:r>
        <w:rPr>
          <w:lang w:val="en-GB"/>
        </w:rPr>
        <w:t xml:space="preserve">, </w:t>
      </w:r>
      <w:r w:rsidRPr="006C54D2">
        <w:rPr>
          <w:i/>
          <w:lang w:val="en-GB"/>
        </w:rPr>
        <w:t>Consequences of Brexit for European Union criminal law</w:t>
      </w:r>
      <w:r>
        <w:rPr>
          <w:lang w:val="en-GB"/>
        </w:rPr>
        <w:t>, 8 NJECL (2017) pp. 284-299.</w:t>
      </w:r>
    </w:p>
  </w:footnote>
  <w:footnote w:id="87">
    <w:p w14:paraId="4DA41610" w14:textId="08F072D7" w:rsidR="003D4C37" w:rsidRPr="005C1C5E" w:rsidRDefault="003D4C37">
      <w:pPr>
        <w:pStyle w:val="FootnoteText"/>
        <w:rPr>
          <w:lang w:val="en-GB"/>
        </w:rPr>
      </w:pPr>
      <w:r>
        <w:rPr>
          <w:rStyle w:val="FootnoteReference"/>
        </w:rPr>
        <w:footnoteRef/>
      </w:r>
      <w:r>
        <w:t xml:space="preserve"> </w:t>
      </w:r>
      <w:r>
        <w:rPr>
          <w:lang w:val="en-GB"/>
        </w:rPr>
        <w:t xml:space="preserve">Para. 45 of the judgment. </w:t>
      </w:r>
    </w:p>
  </w:footnote>
  <w:footnote w:id="88">
    <w:p w14:paraId="15063678" w14:textId="1EA6BEEB" w:rsidR="003D4C37" w:rsidRPr="00F615E3" w:rsidRDefault="003D4C37" w:rsidP="009A7257">
      <w:pPr>
        <w:pStyle w:val="FootnoteText"/>
        <w:jc w:val="both"/>
        <w:rPr>
          <w:lang w:val="en-GB"/>
        </w:rPr>
      </w:pPr>
      <w:r>
        <w:rPr>
          <w:rStyle w:val="FootnoteReference"/>
        </w:rPr>
        <w:footnoteRef/>
      </w:r>
      <w:r>
        <w:t xml:space="preserve"> </w:t>
      </w:r>
      <w:r>
        <w:rPr>
          <w:lang w:val="en-GB"/>
        </w:rPr>
        <w:t>See refere</w:t>
      </w:r>
      <w:r w:rsidR="009A7257">
        <w:rPr>
          <w:lang w:val="en-GB"/>
        </w:rPr>
        <w:t xml:space="preserve">nce in case C-191/18 </w:t>
      </w:r>
      <w:r w:rsidR="009A7257" w:rsidRPr="009A7257">
        <w:rPr>
          <w:i/>
          <w:lang w:val="en-GB"/>
        </w:rPr>
        <w:t>KN v The Minister for Justice and Equality</w:t>
      </w:r>
      <w:r w:rsidR="009A7257">
        <w:rPr>
          <w:lang w:val="en-GB"/>
        </w:rPr>
        <w:t xml:space="preserve">, which was withdrawn by the referring court in the wake of judgment in the discussed case </w:t>
      </w:r>
      <w:r w:rsidR="009A7257" w:rsidRPr="009A7257">
        <w:rPr>
          <w:lang w:val="en-GB"/>
        </w:rPr>
        <w:t>C-327/18PPU</w:t>
      </w:r>
      <w:r w:rsidR="009A7257" w:rsidRPr="009A7257">
        <w:rPr>
          <w:i/>
          <w:lang w:val="en-GB"/>
        </w:rPr>
        <w:t xml:space="preserve"> RO</w:t>
      </w:r>
      <w:r w:rsidR="009A7257">
        <w:rPr>
          <w:lang w:val="en-GB"/>
        </w:rPr>
        <w:t>.</w:t>
      </w:r>
    </w:p>
  </w:footnote>
  <w:footnote w:id="89">
    <w:p w14:paraId="7E767C83" w14:textId="6C6E9F79" w:rsidR="00011C19" w:rsidRPr="00011C19" w:rsidRDefault="00011C19" w:rsidP="00376D5E">
      <w:pPr>
        <w:pStyle w:val="FootnoteText"/>
        <w:jc w:val="both"/>
        <w:rPr>
          <w:lang w:val="en-GB"/>
        </w:rPr>
      </w:pPr>
      <w:r>
        <w:rPr>
          <w:rStyle w:val="FootnoteReference"/>
        </w:rPr>
        <w:footnoteRef/>
      </w:r>
      <w:r>
        <w:t xml:space="preserve"> L. </w:t>
      </w:r>
      <w:proofErr w:type="spellStart"/>
      <w:r>
        <w:t>Mancano</w:t>
      </w:r>
      <w:proofErr w:type="spellEnd"/>
      <w:r>
        <w:t xml:space="preserve">, </w:t>
      </w:r>
      <w:r w:rsidRPr="00011C19">
        <w:rPr>
          <w:i/>
        </w:rPr>
        <w:t>A New Hope? The Court of Justice Restores the Balance Between Fundamental Rights Protection and Enforcement Demands in the European Arrest Warrant System</w:t>
      </w:r>
      <w:r>
        <w:t xml:space="preserve">, in: </w:t>
      </w:r>
      <w:r w:rsidR="00376D5E">
        <w:t xml:space="preserve">Ch. </w:t>
      </w:r>
      <w:proofErr w:type="spellStart"/>
      <w:r w:rsidR="00376D5E">
        <w:t>Brière</w:t>
      </w:r>
      <w:proofErr w:type="spellEnd"/>
      <w:r w:rsidR="00376D5E">
        <w:t xml:space="preserve"> and A. </w:t>
      </w:r>
      <w:proofErr w:type="spellStart"/>
      <w:r w:rsidR="00376D5E">
        <w:t>Weyembergh</w:t>
      </w:r>
      <w:proofErr w:type="spellEnd"/>
      <w:r w:rsidR="00376D5E">
        <w:t xml:space="preserve"> (</w:t>
      </w:r>
      <w:proofErr w:type="spellStart"/>
      <w:r w:rsidR="00376D5E">
        <w:t>eds</w:t>
      </w:r>
      <w:proofErr w:type="spellEnd"/>
      <w:r w:rsidR="00376D5E">
        <w:t xml:space="preserve">), </w:t>
      </w:r>
      <w:r w:rsidR="00376D5E" w:rsidRPr="00306AC8">
        <w:rPr>
          <w:i/>
        </w:rPr>
        <w:t>The Needed Balances in EU Criminal Law. Past, Present and Future</w:t>
      </w:r>
      <w:r w:rsidR="00376D5E">
        <w:t>, Oxford and Portland, Oregon 2018, pp. 285-312.</w:t>
      </w:r>
    </w:p>
  </w:footnote>
  <w:footnote w:id="90">
    <w:p w14:paraId="4AA93E7A" w14:textId="77777777" w:rsidR="00D9790E" w:rsidRPr="00631E23" w:rsidRDefault="00D9790E" w:rsidP="00D9790E">
      <w:pPr>
        <w:pStyle w:val="FootnoteText"/>
        <w:jc w:val="both"/>
        <w:rPr>
          <w:lang w:val="en-GB"/>
        </w:rPr>
      </w:pPr>
      <w:r>
        <w:rPr>
          <w:rStyle w:val="FootnoteReference"/>
        </w:rPr>
        <w:footnoteRef/>
      </w:r>
      <w:r>
        <w:t xml:space="preserve"> Directive 2014/41/EU of the European Parliament and of the Council of 3 April 2014 regarding the European Investigation Order in criminal matters, OJ L 130/2014, p. 1. See further A. </w:t>
      </w:r>
      <w:proofErr w:type="spellStart"/>
      <w:r w:rsidRPr="00E8303B">
        <w:t>Erbežnik</w:t>
      </w:r>
      <w:proofErr w:type="spellEnd"/>
      <w:r>
        <w:t xml:space="preserve">, </w:t>
      </w:r>
      <w:r w:rsidRPr="00E8303B">
        <w:rPr>
          <w:i/>
        </w:rPr>
        <w:t>Mutual Recognition in EU Criminal Law and Fundamental Rights – The Necessity for Sensitive Approach</w:t>
      </w:r>
      <w:r>
        <w:t xml:space="preserve">, in: Ch. </w:t>
      </w:r>
      <w:proofErr w:type="spellStart"/>
      <w:r>
        <w:t>Brière</w:t>
      </w:r>
      <w:proofErr w:type="spellEnd"/>
      <w:r>
        <w:t xml:space="preserve"> and A. </w:t>
      </w:r>
      <w:proofErr w:type="spellStart"/>
      <w:r>
        <w:t>Weyembergh</w:t>
      </w:r>
      <w:proofErr w:type="spellEnd"/>
      <w:r>
        <w:t xml:space="preserve"> (</w:t>
      </w:r>
      <w:proofErr w:type="spellStart"/>
      <w:r>
        <w:t>eds</w:t>
      </w:r>
      <w:proofErr w:type="spellEnd"/>
      <w:r>
        <w:t xml:space="preserve">), </w:t>
      </w:r>
      <w:r w:rsidRPr="00306AC8">
        <w:rPr>
          <w:i/>
        </w:rPr>
        <w:t>The Needed Balances in EU Criminal Law. Past, Present and Future</w:t>
      </w:r>
      <w:r>
        <w:t>, Oxford and Portland, Oregon 2018, pp. 185-211, at pp. 197-199.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DBCD" w14:textId="77777777" w:rsidR="003D4C37" w:rsidRDefault="003D4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23BB" w14:textId="77777777" w:rsidR="003D4C37" w:rsidRDefault="003D4C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F10D" w14:textId="77777777" w:rsidR="003D4C37" w:rsidRDefault="003D4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3A"/>
    <w:rsid w:val="00001FC9"/>
    <w:rsid w:val="00003648"/>
    <w:rsid w:val="00003BB0"/>
    <w:rsid w:val="00011C19"/>
    <w:rsid w:val="00012513"/>
    <w:rsid w:val="00012B5D"/>
    <w:rsid w:val="00017B13"/>
    <w:rsid w:val="00020DA0"/>
    <w:rsid w:val="00022310"/>
    <w:rsid w:val="000276EA"/>
    <w:rsid w:val="00033625"/>
    <w:rsid w:val="0003687F"/>
    <w:rsid w:val="000419E5"/>
    <w:rsid w:val="000420A5"/>
    <w:rsid w:val="00043704"/>
    <w:rsid w:val="00046DBC"/>
    <w:rsid w:val="00050CAC"/>
    <w:rsid w:val="00050E7B"/>
    <w:rsid w:val="00052A36"/>
    <w:rsid w:val="000538F4"/>
    <w:rsid w:val="00053A43"/>
    <w:rsid w:val="0006033D"/>
    <w:rsid w:val="0006208B"/>
    <w:rsid w:val="00062F45"/>
    <w:rsid w:val="00062FAA"/>
    <w:rsid w:val="000662FD"/>
    <w:rsid w:val="00067178"/>
    <w:rsid w:val="00071690"/>
    <w:rsid w:val="000722B0"/>
    <w:rsid w:val="00073498"/>
    <w:rsid w:val="0007426C"/>
    <w:rsid w:val="000822BA"/>
    <w:rsid w:val="00091230"/>
    <w:rsid w:val="00093CDC"/>
    <w:rsid w:val="000A0D6A"/>
    <w:rsid w:val="000A281B"/>
    <w:rsid w:val="000A2A4B"/>
    <w:rsid w:val="000A3CF4"/>
    <w:rsid w:val="000A531D"/>
    <w:rsid w:val="000A768D"/>
    <w:rsid w:val="000A7D22"/>
    <w:rsid w:val="000B4523"/>
    <w:rsid w:val="000B5F9A"/>
    <w:rsid w:val="000B7F09"/>
    <w:rsid w:val="000C22E8"/>
    <w:rsid w:val="000C67F3"/>
    <w:rsid w:val="000C79DC"/>
    <w:rsid w:val="000D1B93"/>
    <w:rsid w:val="000D355A"/>
    <w:rsid w:val="000D38E6"/>
    <w:rsid w:val="000D409E"/>
    <w:rsid w:val="000D4B63"/>
    <w:rsid w:val="000D5039"/>
    <w:rsid w:val="000D77B8"/>
    <w:rsid w:val="000E15E1"/>
    <w:rsid w:val="000E60D2"/>
    <w:rsid w:val="000E6D47"/>
    <w:rsid w:val="000E7350"/>
    <w:rsid w:val="000F18F6"/>
    <w:rsid w:val="000F2461"/>
    <w:rsid w:val="000F6122"/>
    <w:rsid w:val="0010102D"/>
    <w:rsid w:val="0010156B"/>
    <w:rsid w:val="00107A0F"/>
    <w:rsid w:val="001127DC"/>
    <w:rsid w:val="00115F18"/>
    <w:rsid w:val="00120BDE"/>
    <w:rsid w:val="00130715"/>
    <w:rsid w:val="00135C38"/>
    <w:rsid w:val="00135D9B"/>
    <w:rsid w:val="001418C4"/>
    <w:rsid w:val="00142164"/>
    <w:rsid w:val="00143202"/>
    <w:rsid w:val="00144F49"/>
    <w:rsid w:val="001459D5"/>
    <w:rsid w:val="00145F06"/>
    <w:rsid w:val="00150063"/>
    <w:rsid w:val="001519F4"/>
    <w:rsid w:val="00155E44"/>
    <w:rsid w:val="00157078"/>
    <w:rsid w:val="00160D8F"/>
    <w:rsid w:val="00161ED6"/>
    <w:rsid w:val="00161F21"/>
    <w:rsid w:val="00163AEE"/>
    <w:rsid w:val="00164C3E"/>
    <w:rsid w:val="00164F5F"/>
    <w:rsid w:val="0016748F"/>
    <w:rsid w:val="00167791"/>
    <w:rsid w:val="001677C6"/>
    <w:rsid w:val="001830F1"/>
    <w:rsid w:val="00183987"/>
    <w:rsid w:val="00183FA0"/>
    <w:rsid w:val="00186957"/>
    <w:rsid w:val="001914AB"/>
    <w:rsid w:val="00191B7A"/>
    <w:rsid w:val="00192464"/>
    <w:rsid w:val="00194A16"/>
    <w:rsid w:val="00194CCC"/>
    <w:rsid w:val="00194F3C"/>
    <w:rsid w:val="001A2164"/>
    <w:rsid w:val="001B07EB"/>
    <w:rsid w:val="001B1C23"/>
    <w:rsid w:val="001B2D9E"/>
    <w:rsid w:val="001C3168"/>
    <w:rsid w:val="001C34A9"/>
    <w:rsid w:val="001C618C"/>
    <w:rsid w:val="001D70AA"/>
    <w:rsid w:val="001D7451"/>
    <w:rsid w:val="001E1A20"/>
    <w:rsid w:val="001E4308"/>
    <w:rsid w:val="001E65D8"/>
    <w:rsid w:val="001F0BE4"/>
    <w:rsid w:val="001F3EAC"/>
    <w:rsid w:val="002013F8"/>
    <w:rsid w:val="00202A5D"/>
    <w:rsid w:val="00205558"/>
    <w:rsid w:val="00206288"/>
    <w:rsid w:val="00207D2E"/>
    <w:rsid w:val="00211CA2"/>
    <w:rsid w:val="00216F31"/>
    <w:rsid w:val="00220428"/>
    <w:rsid w:val="00231813"/>
    <w:rsid w:val="00234080"/>
    <w:rsid w:val="00237E84"/>
    <w:rsid w:val="0024103A"/>
    <w:rsid w:val="00244495"/>
    <w:rsid w:val="002451D5"/>
    <w:rsid w:val="002501EA"/>
    <w:rsid w:val="0025230A"/>
    <w:rsid w:val="002600B8"/>
    <w:rsid w:val="00261C28"/>
    <w:rsid w:val="00262564"/>
    <w:rsid w:val="002629CD"/>
    <w:rsid w:val="00263354"/>
    <w:rsid w:val="00263EF9"/>
    <w:rsid w:val="00263F76"/>
    <w:rsid w:val="002646BE"/>
    <w:rsid w:val="0026701E"/>
    <w:rsid w:val="00270C9F"/>
    <w:rsid w:val="0027355E"/>
    <w:rsid w:val="002735D1"/>
    <w:rsid w:val="00274875"/>
    <w:rsid w:val="00276E43"/>
    <w:rsid w:val="00281B97"/>
    <w:rsid w:val="002830E8"/>
    <w:rsid w:val="00287A92"/>
    <w:rsid w:val="00291A8B"/>
    <w:rsid w:val="00292BE7"/>
    <w:rsid w:val="00294283"/>
    <w:rsid w:val="002A56F8"/>
    <w:rsid w:val="002B05B8"/>
    <w:rsid w:val="002B184A"/>
    <w:rsid w:val="002B53C4"/>
    <w:rsid w:val="002B5784"/>
    <w:rsid w:val="002B67CD"/>
    <w:rsid w:val="002B6E06"/>
    <w:rsid w:val="002C05CD"/>
    <w:rsid w:val="002C576D"/>
    <w:rsid w:val="002C6091"/>
    <w:rsid w:val="002D2151"/>
    <w:rsid w:val="002D75FB"/>
    <w:rsid w:val="002E13F2"/>
    <w:rsid w:val="002E17BD"/>
    <w:rsid w:val="002E21B9"/>
    <w:rsid w:val="002E230A"/>
    <w:rsid w:val="002E4294"/>
    <w:rsid w:val="002E6A23"/>
    <w:rsid w:val="002F0F08"/>
    <w:rsid w:val="002F4068"/>
    <w:rsid w:val="002F7855"/>
    <w:rsid w:val="003011B9"/>
    <w:rsid w:val="003020B1"/>
    <w:rsid w:val="0030384B"/>
    <w:rsid w:val="00303FAE"/>
    <w:rsid w:val="00306AC8"/>
    <w:rsid w:val="00306DDE"/>
    <w:rsid w:val="00311498"/>
    <w:rsid w:val="003128BC"/>
    <w:rsid w:val="00316D4D"/>
    <w:rsid w:val="00317907"/>
    <w:rsid w:val="00320DB6"/>
    <w:rsid w:val="003218BF"/>
    <w:rsid w:val="003237B4"/>
    <w:rsid w:val="0032585F"/>
    <w:rsid w:val="00332698"/>
    <w:rsid w:val="003326D0"/>
    <w:rsid w:val="0034277F"/>
    <w:rsid w:val="00342C43"/>
    <w:rsid w:val="00343724"/>
    <w:rsid w:val="00343C5F"/>
    <w:rsid w:val="00347181"/>
    <w:rsid w:val="00351337"/>
    <w:rsid w:val="00351F79"/>
    <w:rsid w:val="00360810"/>
    <w:rsid w:val="00363C0E"/>
    <w:rsid w:val="00364584"/>
    <w:rsid w:val="0036513E"/>
    <w:rsid w:val="00365905"/>
    <w:rsid w:val="00366F7A"/>
    <w:rsid w:val="00376BC2"/>
    <w:rsid w:val="00376D5E"/>
    <w:rsid w:val="003775C8"/>
    <w:rsid w:val="003811DF"/>
    <w:rsid w:val="00387B78"/>
    <w:rsid w:val="003902BA"/>
    <w:rsid w:val="00394675"/>
    <w:rsid w:val="00394EDF"/>
    <w:rsid w:val="003956DB"/>
    <w:rsid w:val="003973F3"/>
    <w:rsid w:val="003A2CC3"/>
    <w:rsid w:val="003A5C81"/>
    <w:rsid w:val="003A62F4"/>
    <w:rsid w:val="003A69BB"/>
    <w:rsid w:val="003A6EEC"/>
    <w:rsid w:val="003C33E9"/>
    <w:rsid w:val="003C7A6E"/>
    <w:rsid w:val="003C7FD5"/>
    <w:rsid w:val="003D44F5"/>
    <w:rsid w:val="003D4665"/>
    <w:rsid w:val="003D4C37"/>
    <w:rsid w:val="003D5DA0"/>
    <w:rsid w:val="003F197B"/>
    <w:rsid w:val="003F4BF4"/>
    <w:rsid w:val="004006E4"/>
    <w:rsid w:val="004019DD"/>
    <w:rsid w:val="00401ECF"/>
    <w:rsid w:val="00402CFB"/>
    <w:rsid w:val="00404A35"/>
    <w:rsid w:val="00410530"/>
    <w:rsid w:val="00411A78"/>
    <w:rsid w:val="00411FBD"/>
    <w:rsid w:val="00413DE2"/>
    <w:rsid w:val="00417178"/>
    <w:rsid w:val="004174D4"/>
    <w:rsid w:val="0042082C"/>
    <w:rsid w:val="00425740"/>
    <w:rsid w:val="004348A1"/>
    <w:rsid w:val="00434CC4"/>
    <w:rsid w:val="004367C1"/>
    <w:rsid w:val="00437BBC"/>
    <w:rsid w:val="004402BA"/>
    <w:rsid w:val="00441B77"/>
    <w:rsid w:val="004430F6"/>
    <w:rsid w:val="00443828"/>
    <w:rsid w:val="004448A0"/>
    <w:rsid w:val="00446002"/>
    <w:rsid w:val="004469F1"/>
    <w:rsid w:val="00452432"/>
    <w:rsid w:val="004601CB"/>
    <w:rsid w:val="004629DF"/>
    <w:rsid w:val="0046536C"/>
    <w:rsid w:val="00470823"/>
    <w:rsid w:val="00474B45"/>
    <w:rsid w:val="004763A3"/>
    <w:rsid w:val="00480B85"/>
    <w:rsid w:val="00481039"/>
    <w:rsid w:val="00481A75"/>
    <w:rsid w:val="00483CE6"/>
    <w:rsid w:val="004840BF"/>
    <w:rsid w:val="00484A32"/>
    <w:rsid w:val="0048681A"/>
    <w:rsid w:val="00495E77"/>
    <w:rsid w:val="004962CB"/>
    <w:rsid w:val="004967DE"/>
    <w:rsid w:val="0049768C"/>
    <w:rsid w:val="00497D46"/>
    <w:rsid w:val="004A02C6"/>
    <w:rsid w:val="004A21AC"/>
    <w:rsid w:val="004A743E"/>
    <w:rsid w:val="004B0CFD"/>
    <w:rsid w:val="004B2F3E"/>
    <w:rsid w:val="004B3209"/>
    <w:rsid w:val="004B545E"/>
    <w:rsid w:val="004C130B"/>
    <w:rsid w:val="004C2962"/>
    <w:rsid w:val="004C3772"/>
    <w:rsid w:val="004C5999"/>
    <w:rsid w:val="004C5FFD"/>
    <w:rsid w:val="004C651F"/>
    <w:rsid w:val="004D00BA"/>
    <w:rsid w:val="004D316F"/>
    <w:rsid w:val="004D4E32"/>
    <w:rsid w:val="004D73B4"/>
    <w:rsid w:val="004E2F3A"/>
    <w:rsid w:val="004E458E"/>
    <w:rsid w:val="005015AB"/>
    <w:rsid w:val="00505B7E"/>
    <w:rsid w:val="00506BAE"/>
    <w:rsid w:val="005076C9"/>
    <w:rsid w:val="00511438"/>
    <w:rsid w:val="00516D71"/>
    <w:rsid w:val="00520E92"/>
    <w:rsid w:val="00521B02"/>
    <w:rsid w:val="005225BE"/>
    <w:rsid w:val="00523830"/>
    <w:rsid w:val="00523E0B"/>
    <w:rsid w:val="00524A0E"/>
    <w:rsid w:val="00530684"/>
    <w:rsid w:val="005315E6"/>
    <w:rsid w:val="005316FF"/>
    <w:rsid w:val="005333D1"/>
    <w:rsid w:val="00533CD2"/>
    <w:rsid w:val="005373DD"/>
    <w:rsid w:val="0054102F"/>
    <w:rsid w:val="00551BC3"/>
    <w:rsid w:val="00551D20"/>
    <w:rsid w:val="00552D63"/>
    <w:rsid w:val="00555E25"/>
    <w:rsid w:val="005567EC"/>
    <w:rsid w:val="00560A99"/>
    <w:rsid w:val="0056593C"/>
    <w:rsid w:val="005738C9"/>
    <w:rsid w:val="0057573F"/>
    <w:rsid w:val="00575DF1"/>
    <w:rsid w:val="005775CC"/>
    <w:rsid w:val="00580834"/>
    <w:rsid w:val="005827EB"/>
    <w:rsid w:val="00585E91"/>
    <w:rsid w:val="00591620"/>
    <w:rsid w:val="00591D9F"/>
    <w:rsid w:val="00592262"/>
    <w:rsid w:val="005A12FE"/>
    <w:rsid w:val="005A570A"/>
    <w:rsid w:val="005C0FC6"/>
    <w:rsid w:val="005C1C5E"/>
    <w:rsid w:val="005C2B2E"/>
    <w:rsid w:val="005C38A9"/>
    <w:rsid w:val="005C517A"/>
    <w:rsid w:val="005C5C17"/>
    <w:rsid w:val="005C6C2D"/>
    <w:rsid w:val="005C7DCF"/>
    <w:rsid w:val="005D07B3"/>
    <w:rsid w:val="005D0C60"/>
    <w:rsid w:val="005D2A4D"/>
    <w:rsid w:val="005D50C0"/>
    <w:rsid w:val="005D5C1A"/>
    <w:rsid w:val="005D634D"/>
    <w:rsid w:val="005E0270"/>
    <w:rsid w:val="005E211A"/>
    <w:rsid w:val="005E2E05"/>
    <w:rsid w:val="005E5912"/>
    <w:rsid w:val="005E7134"/>
    <w:rsid w:val="005E7667"/>
    <w:rsid w:val="005F2591"/>
    <w:rsid w:val="005F4D8C"/>
    <w:rsid w:val="005F7E6E"/>
    <w:rsid w:val="00601F88"/>
    <w:rsid w:val="0060301E"/>
    <w:rsid w:val="00611371"/>
    <w:rsid w:val="00611587"/>
    <w:rsid w:val="00612F58"/>
    <w:rsid w:val="006148DB"/>
    <w:rsid w:val="006175C1"/>
    <w:rsid w:val="006245BB"/>
    <w:rsid w:val="006304E1"/>
    <w:rsid w:val="00631AC8"/>
    <w:rsid w:val="00631E23"/>
    <w:rsid w:val="006429A9"/>
    <w:rsid w:val="006435CD"/>
    <w:rsid w:val="006463EE"/>
    <w:rsid w:val="006469FE"/>
    <w:rsid w:val="00647FB2"/>
    <w:rsid w:val="00656194"/>
    <w:rsid w:val="00656D63"/>
    <w:rsid w:val="0065793E"/>
    <w:rsid w:val="00657DDF"/>
    <w:rsid w:val="00660322"/>
    <w:rsid w:val="006653BD"/>
    <w:rsid w:val="0066567F"/>
    <w:rsid w:val="006667F2"/>
    <w:rsid w:val="006715BC"/>
    <w:rsid w:val="00672329"/>
    <w:rsid w:val="00672477"/>
    <w:rsid w:val="00674112"/>
    <w:rsid w:val="0067730E"/>
    <w:rsid w:val="00677682"/>
    <w:rsid w:val="006855A1"/>
    <w:rsid w:val="0068661F"/>
    <w:rsid w:val="006902BD"/>
    <w:rsid w:val="00691B51"/>
    <w:rsid w:val="00693B2D"/>
    <w:rsid w:val="00695F2F"/>
    <w:rsid w:val="006970CB"/>
    <w:rsid w:val="006A1A6A"/>
    <w:rsid w:val="006B3721"/>
    <w:rsid w:val="006C181F"/>
    <w:rsid w:val="006C54D2"/>
    <w:rsid w:val="006C7F1F"/>
    <w:rsid w:val="006D5E1B"/>
    <w:rsid w:val="006D61B0"/>
    <w:rsid w:val="006E26AF"/>
    <w:rsid w:val="006E31DB"/>
    <w:rsid w:val="006E452F"/>
    <w:rsid w:val="006E608E"/>
    <w:rsid w:val="006E6CD1"/>
    <w:rsid w:val="006F0E9C"/>
    <w:rsid w:val="006F1B4D"/>
    <w:rsid w:val="007007BB"/>
    <w:rsid w:val="007010E0"/>
    <w:rsid w:val="00701AB3"/>
    <w:rsid w:val="00702CBA"/>
    <w:rsid w:val="007037DA"/>
    <w:rsid w:val="00703EEA"/>
    <w:rsid w:val="00704480"/>
    <w:rsid w:val="00707193"/>
    <w:rsid w:val="00707395"/>
    <w:rsid w:val="0070744F"/>
    <w:rsid w:val="00710F1A"/>
    <w:rsid w:val="00720938"/>
    <w:rsid w:val="00721E6F"/>
    <w:rsid w:val="00723270"/>
    <w:rsid w:val="007238ED"/>
    <w:rsid w:val="0072526A"/>
    <w:rsid w:val="00726F59"/>
    <w:rsid w:val="0073556A"/>
    <w:rsid w:val="00735829"/>
    <w:rsid w:val="00735C50"/>
    <w:rsid w:val="00737EE1"/>
    <w:rsid w:val="00740CB2"/>
    <w:rsid w:val="0074270D"/>
    <w:rsid w:val="00742988"/>
    <w:rsid w:val="0074731D"/>
    <w:rsid w:val="00747D73"/>
    <w:rsid w:val="0075195B"/>
    <w:rsid w:val="007562CB"/>
    <w:rsid w:val="007603EC"/>
    <w:rsid w:val="00760DDD"/>
    <w:rsid w:val="00762646"/>
    <w:rsid w:val="00765398"/>
    <w:rsid w:val="007702B7"/>
    <w:rsid w:val="007712A4"/>
    <w:rsid w:val="00771F1F"/>
    <w:rsid w:val="007752EE"/>
    <w:rsid w:val="00777FD4"/>
    <w:rsid w:val="00782042"/>
    <w:rsid w:val="00793C69"/>
    <w:rsid w:val="0079620A"/>
    <w:rsid w:val="00797926"/>
    <w:rsid w:val="007A055E"/>
    <w:rsid w:val="007A2B7B"/>
    <w:rsid w:val="007A30D4"/>
    <w:rsid w:val="007A6F66"/>
    <w:rsid w:val="007B2126"/>
    <w:rsid w:val="007B4B3E"/>
    <w:rsid w:val="007B4BFE"/>
    <w:rsid w:val="007B6093"/>
    <w:rsid w:val="007B6179"/>
    <w:rsid w:val="007B7336"/>
    <w:rsid w:val="007B783C"/>
    <w:rsid w:val="007C1CFB"/>
    <w:rsid w:val="007C3CBE"/>
    <w:rsid w:val="007C7B6F"/>
    <w:rsid w:val="007D1199"/>
    <w:rsid w:val="007D121B"/>
    <w:rsid w:val="007D161F"/>
    <w:rsid w:val="007D4006"/>
    <w:rsid w:val="007D44A1"/>
    <w:rsid w:val="007D503F"/>
    <w:rsid w:val="007D617F"/>
    <w:rsid w:val="007D6743"/>
    <w:rsid w:val="007E00DA"/>
    <w:rsid w:val="007E211F"/>
    <w:rsid w:val="007E6785"/>
    <w:rsid w:val="007E7237"/>
    <w:rsid w:val="007F1BC4"/>
    <w:rsid w:val="007F230B"/>
    <w:rsid w:val="007F2B82"/>
    <w:rsid w:val="007F6455"/>
    <w:rsid w:val="008003F2"/>
    <w:rsid w:val="00803FF0"/>
    <w:rsid w:val="008059D0"/>
    <w:rsid w:val="00810306"/>
    <w:rsid w:val="00811844"/>
    <w:rsid w:val="00820334"/>
    <w:rsid w:val="00821D1A"/>
    <w:rsid w:val="00821F82"/>
    <w:rsid w:val="008230EB"/>
    <w:rsid w:val="00824BFE"/>
    <w:rsid w:val="00827F3B"/>
    <w:rsid w:val="008329C1"/>
    <w:rsid w:val="008350EB"/>
    <w:rsid w:val="008416DB"/>
    <w:rsid w:val="0084179D"/>
    <w:rsid w:val="00841B2F"/>
    <w:rsid w:val="0084429E"/>
    <w:rsid w:val="00850DD3"/>
    <w:rsid w:val="00850EC4"/>
    <w:rsid w:val="0085120A"/>
    <w:rsid w:val="008568BF"/>
    <w:rsid w:val="008624BF"/>
    <w:rsid w:val="0086535C"/>
    <w:rsid w:val="00865F16"/>
    <w:rsid w:val="008755B4"/>
    <w:rsid w:val="00880082"/>
    <w:rsid w:val="00883B58"/>
    <w:rsid w:val="00884D5B"/>
    <w:rsid w:val="00886644"/>
    <w:rsid w:val="0089531B"/>
    <w:rsid w:val="00895446"/>
    <w:rsid w:val="00895BC4"/>
    <w:rsid w:val="00895D5E"/>
    <w:rsid w:val="008A113B"/>
    <w:rsid w:val="008A61CD"/>
    <w:rsid w:val="008A7206"/>
    <w:rsid w:val="008B0493"/>
    <w:rsid w:val="008B127B"/>
    <w:rsid w:val="008B188A"/>
    <w:rsid w:val="008B3CA4"/>
    <w:rsid w:val="008C024C"/>
    <w:rsid w:val="008C18CD"/>
    <w:rsid w:val="008C408A"/>
    <w:rsid w:val="008D254D"/>
    <w:rsid w:val="008D3B00"/>
    <w:rsid w:val="008E14B0"/>
    <w:rsid w:val="008E27B6"/>
    <w:rsid w:val="008E49A2"/>
    <w:rsid w:val="008E7E2B"/>
    <w:rsid w:val="008F1391"/>
    <w:rsid w:val="008F3F2C"/>
    <w:rsid w:val="008F48E5"/>
    <w:rsid w:val="008F5403"/>
    <w:rsid w:val="008F6B5D"/>
    <w:rsid w:val="008F6F8B"/>
    <w:rsid w:val="008F7EEA"/>
    <w:rsid w:val="009006BD"/>
    <w:rsid w:val="009120BB"/>
    <w:rsid w:val="00912362"/>
    <w:rsid w:val="00913D15"/>
    <w:rsid w:val="00916FF1"/>
    <w:rsid w:val="00917A66"/>
    <w:rsid w:val="00920EDF"/>
    <w:rsid w:val="00924C1D"/>
    <w:rsid w:val="00924FFD"/>
    <w:rsid w:val="0092673F"/>
    <w:rsid w:val="009278A5"/>
    <w:rsid w:val="00927ADF"/>
    <w:rsid w:val="00933209"/>
    <w:rsid w:val="009453F1"/>
    <w:rsid w:val="0094545D"/>
    <w:rsid w:val="00947B8D"/>
    <w:rsid w:val="0095428F"/>
    <w:rsid w:val="00954573"/>
    <w:rsid w:val="00955057"/>
    <w:rsid w:val="009551C4"/>
    <w:rsid w:val="00956D70"/>
    <w:rsid w:val="009614EC"/>
    <w:rsid w:val="00963D6F"/>
    <w:rsid w:val="0096623E"/>
    <w:rsid w:val="00970F84"/>
    <w:rsid w:val="00973C00"/>
    <w:rsid w:val="00976D69"/>
    <w:rsid w:val="009827B9"/>
    <w:rsid w:val="00990415"/>
    <w:rsid w:val="00990E07"/>
    <w:rsid w:val="009912D8"/>
    <w:rsid w:val="00994000"/>
    <w:rsid w:val="00997556"/>
    <w:rsid w:val="009A1863"/>
    <w:rsid w:val="009A4512"/>
    <w:rsid w:val="009A5AEC"/>
    <w:rsid w:val="009A7257"/>
    <w:rsid w:val="009B343A"/>
    <w:rsid w:val="009C0090"/>
    <w:rsid w:val="009C50B1"/>
    <w:rsid w:val="009C66AD"/>
    <w:rsid w:val="009C76A3"/>
    <w:rsid w:val="009C7D06"/>
    <w:rsid w:val="009D758D"/>
    <w:rsid w:val="009D7CFC"/>
    <w:rsid w:val="009D7E50"/>
    <w:rsid w:val="009E2DE4"/>
    <w:rsid w:val="009E4BDD"/>
    <w:rsid w:val="009F0539"/>
    <w:rsid w:val="009F1732"/>
    <w:rsid w:val="009F24E3"/>
    <w:rsid w:val="009F7BED"/>
    <w:rsid w:val="009F7D31"/>
    <w:rsid w:val="00A024BC"/>
    <w:rsid w:val="00A026F2"/>
    <w:rsid w:val="00A047F2"/>
    <w:rsid w:val="00A055E6"/>
    <w:rsid w:val="00A10685"/>
    <w:rsid w:val="00A11B0F"/>
    <w:rsid w:val="00A15615"/>
    <w:rsid w:val="00A200B5"/>
    <w:rsid w:val="00A21D1F"/>
    <w:rsid w:val="00A2290C"/>
    <w:rsid w:val="00A22CDB"/>
    <w:rsid w:val="00A26ECD"/>
    <w:rsid w:val="00A32465"/>
    <w:rsid w:val="00A32CA7"/>
    <w:rsid w:val="00A36BCA"/>
    <w:rsid w:val="00A36D57"/>
    <w:rsid w:val="00A3718E"/>
    <w:rsid w:val="00A37F1F"/>
    <w:rsid w:val="00A429E6"/>
    <w:rsid w:val="00A4354E"/>
    <w:rsid w:val="00A458F6"/>
    <w:rsid w:val="00A45C43"/>
    <w:rsid w:val="00A5327A"/>
    <w:rsid w:val="00A53860"/>
    <w:rsid w:val="00A53E9B"/>
    <w:rsid w:val="00A56021"/>
    <w:rsid w:val="00A60D6F"/>
    <w:rsid w:val="00A63013"/>
    <w:rsid w:val="00A7060E"/>
    <w:rsid w:val="00A77C8B"/>
    <w:rsid w:val="00A8104D"/>
    <w:rsid w:val="00A841AC"/>
    <w:rsid w:val="00A84AA0"/>
    <w:rsid w:val="00A8678C"/>
    <w:rsid w:val="00A867D6"/>
    <w:rsid w:val="00A87459"/>
    <w:rsid w:val="00A93C3A"/>
    <w:rsid w:val="00A95FB5"/>
    <w:rsid w:val="00A96854"/>
    <w:rsid w:val="00A975D4"/>
    <w:rsid w:val="00AA0535"/>
    <w:rsid w:val="00AA1305"/>
    <w:rsid w:val="00AA1444"/>
    <w:rsid w:val="00AA4F70"/>
    <w:rsid w:val="00AA7FE9"/>
    <w:rsid w:val="00AB5A89"/>
    <w:rsid w:val="00AC14AE"/>
    <w:rsid w:val="00AC3ABA"/>
    <w:rsid w:val="00AC47D7"/>
    <w:rsid w:val="00AC6A3E"/>
    <w:rsid w:val="00AC755A"/>
    <w:rsid w:val="00AC7D05"/>
    <w:rsid w:val="00AD0261"/>
    <w:rsid w:val="00AD26AF"/>
    <w:rsid w:val="00AE07BE"/>
    <w:rsid w:val="00AE1CFA"/>
    <w:rsid w:val="00AE24E0"/>
    <w:rsid w:val="00AE6827"/>
    <w:rsid w:val="00AF1A0F"/>
    <w:rsid w:val="00AF206D"/>
    <w:rsid w:val="00AF2C34"/>
    <w:rsid w:val="00AF7B67"/>
    <w:rsid w:val="00B009C6"/>
    <w:rsid w:val="00B0131C"/>
    <w:rsid w:val="00B024E1"/>
    <w:rsid w:val="00B06141"/>
    <w:rsid w:val="00B10B1B"/>
    <w:rsid w:val="00B12854"/>
    <w:rsid w:val="00B16A72"/>
    <w:rsid w:val="00B22317"/>
    <w:rsid w:val="00B230B0"/>
    <w:rsid w:val="00B30A88"/>
    <w:rsid w:val="00B31AF0"/>
    <w:rsid w:val="00B348CA"/>
    <w:rsid w:val="00B34A7F"/>
    <w:rsid w:val="00B36DBA"/>
    <w:rsid w:val="00B40B35"/>
    <w:rsid w:val="00B456B0"/>
    <w:rsid w:val="00B50434"/>
    <w:rsid w:val="00B52979"/>
    <w:rsid w:val="00B53FAF"/>
    <w:rsid w:val="00B5450A"/>
    <w:rsid w:val="00B562F0"/>
    <w:rsid w:val="00B576A4"/>
    <w:rsid w:val="00B624B5"/>
    <w:rsid w:val="00B65352"/>
    <w:rsid w:val="00B65AA6"/>
    <w:rsid w:val="00B66497"/>
    <w:rsid w:val="00B67834"/>
    <w:rsid w:val="00B72971"/>
    <w:rsid w:val="00B73400"/>
    <w:rsid w:val="00B81083"/>
    <w:rsid w:val="00B83015"/>
    <w:rsid w:val="00B87D8F"/>
    <w:rsid w:val="00B9020A"/>
    <w:rsid w:val="00B91771"/>
    <w:rsid w:val="00B94005"/>
    <w:rsid w:val="00B97418"/>
    <w:rsid w:val="00BA0751"/>
    <w:rsid w:val="00BA2A6E"/>
    <w:rsid w:val="00BA6DA5"/>
    <w:rsid w:val="00BB1D39"/>
    <w:rsid w:val="00BB2252"/>
    <w:rsid w:val="00BB6A24"/>
    <w:rsid w:val="00BB6C54"/>
    <w:rsid w:val="00BB7C6B"/>
    <w:rsid w:val="00BC5CE9"/>
    <w:rsid w:val="00BC79D6"/>
    <w:rsid w:val="00BD487D"/>
    <w:rsid w:val="00BD578C"/>
    <w:rsid w:val="00BE2FB5"/>
    <w:rsid w:val="00BE4418"/>
    <w:rsid w:val="00BE46A0"/>
    <w:rsid w:val="00BE483A"/>
    <w:rsid w:val="00BF0D8D"/>
    <w:rsid w:val="00BF44C4"/>
    <w:rsid w:val="00BF5967"/>
    <w:rsid w:val="00C049BA"/>
    <w:rsid w:val="00C054D3"/>
    <w:rsid w:val="00C05AB0"/>
    <w:rsid w:val="00C05BCA"/>
    <w:rsid w:val="00C05E3C"/>
    <w:rsid w:val="00C06479"/>
    <w:rsid w:val="00C06DB2"/>
    <w:rsid w:val="00C128F6"/>
    <w:rsid w:val="00C14B19"/>
    <w:rsid w:val="00C2388A"/>
    <w:rsid w:val="00C255EB"/>
    <w:rsid w:val="00C2665C"/>
    <w:rsid w:val="00C27828"/>
    <w:rsid w:val="00C31F3A"/>
    <w:rsid w:val="00C42E41"/>
    <w:rsid w:val="00C4382D"/>
    <w:rsid w:val="00C52D5F"/>
    <w:rsid w:val="00C55465"/>
    <w:rsid w:val="00C60E5D"/>
    <w:rsid w:val="00C61B78"/>
    <w:rsid w:val="00C74429"/>
    <w:rsid w:val="00C74AFB"/>
    <w:rsid w:val="00C77F18"/>
    <w:rsid w:val="00C80251"/>
    <w:rsid w:val="00C8118B"/>
    <w:rsid w:val="00C8137F"/>
    <w:rsid w:val="00C8261E"/>
    <w:rsid w:val="00C82821"/>
    <w:rsid w:val="00C83F7C"/>
    <w:rsid w:val="00C934BF"/>
    <w:rsid w:val="00C93641"/>
    <w:rsid w:val="00C94E14"/>
    <w:rsid w:val="00C95E06"/>
    <w:rsid w:val="00C9715B"/>
    <w:rsid w:val="00CA1524"/>
    <w:rsid w:val="00CA204B"/>
    <w:rsid w:val="00CA2A7C"/>
    <w:rsid w:val="00CA3237"/>
    <w:rsid w:val="00CB126B"/>
    <w:rsid w:val="00CC0CF1"/>
    <w:rsid w:val="00CC0EBC"/>
    <w:rsid w:val="00CC15CB"/>
    <w:rsid w:val="00CC3A80"/>
    <w:rsid w:val="00CC3D68"/>
    <w:rsid w:val="00CC4293"/>
    <w:rsid w:val="00CC5348"/>
    <w:rsid w:val="00CD058E"/>
    <w:rsid w:val="00CD4199"/>
    <w:rsid w:val="00CE3EF3"/>
    <w:rsid w:val="00CE44A6"/>
    <w:rsid w:val="00CF3EE7"/>
    <w:rsid w:val="00CF5A13"/>
    <w:rsid w:val="00CF6B55"/>
    <w:rsid w:val="00D00076"/>
    <w:rsid w:val="00D015B5"/>
    <w:rsid w:val="00D04AB9"/>
    <w:rsid w:val="00D061CB"/>
    <w:rsid w:val="00D0683D"/>
    <w:rsid w:val="00D06A6A"/>
    <w:rsid w:val="00D12337"/>
    <w:rsid w:val="00D14728"/>
    <w:rsid w:val="00D16CBE"/>
    <w:rsid w:val="00D17145"/>
    <w:rsid w:val="00D205EB"/>
    <w:rsid w:val="00D21BDB"/>
    <w:rsid w:val="00D231BB"/>
    <w:rsid w:val="00D24612"/>
    <w:rsid w:val="00D27A84"/>
    <w:rsid w:val="00D27DB3"/>
    <w:rsid w:val="00D303BE"/>
    <w:rsid w:val="00D32246"/>
    <w:rsid w:val="00D3262C"/>
    <w:rsid w:val="00D32B35"/>
    <w:rsid w:val="00D33D48"/>
    <w:rsid w:val="00D35EB3"/>
    <w:rsid w:val="00D36DCD"/>
    <w:rsid w:val="00D376B1"/>
    <w:rsid w:val="00D41D79"/>
    <w:rsid w:val="00D43026"/>
    <w:rsid w:val="00D46463"/>
    <w:rsid w:val="00D46C87"/>
    <w:rsid w:val="00D519DF"/>
    <w:rsid w:val="00D52091"/>
    <w:rsid w:val="00D5470A"/>
    <w:rsid w:val="00D55685"/>
    <w:rsid w:val="00D60902"/>
    <w:rsid w:val="00D60E0D"/>
    <w:rsid w:val="00D6797E"/>
    <w:rsid w:val="00D72D0E"/>
    <w:rsid w:val="00D7436D"/>
    <w:rsid w:val="00D75354"/>
    <w:rsid w:val="00D821FE"/>
    <w:rsid w:val="00D84E41"/>
    <w:rsid w:val="00D850CB"/>
    <w:rsid w:val="00D85222"/>
    <w:rsid w:val="00D93B3B"/>
    <w:rsid w:val="00D9790E"/>
    <w:rsid w:val="00DA15F7"/>
    <w:rsid w:val="00DA4801"/>
    <w:rsid w:val="00DA626E"/>
    <w:rsid w:val="00DA6CBF"/>
    <w:rsid w:val="00DB0554"/>
    <w:rsid w:val="00DB11ED"/>
    <w:rsid w:val="00DB1BBC"/>
    <w:rsid w:val="00DB4036"/>
    <w:rsid w:val="00DB7A8A"/>
    <w:rsid w:val="00DB7EF2"/>
    <w:rsid w:val="00DC0D42"/>
    <w:rsid w:val="00DC0DBF"/>
    <w:rsid w:val="00DC5AA7"/>
    <w:rsid w:val="00DD1742"/>
    <w:rsid w:val="00DD3121"/>
    <w:rsid w:val="00DD66D9"/>
    <w:rsid w:val="00DE1581"/>
    <w:rsid w:val="00DE49CE"/>
    <w:rsid w:val="00DE4BA1"/>
    <w:rsid w:val="00DE4C9F"/>
    <w:rsid w:val="00DE738B"/>
    <w:rsid w:val="00DF19CB"/>
    <w:rsid w:val="00DF7BF6"/>
    <w:rsid w:val="00E00A9C"/>
    <w:rsid w:val="00E021BF"/>
    <w:rsid w:val="00E14506"/>
    <w:rsid w:val="00E1456D"/>
    <w:rsid w:val="00E20290"/>
    <w:rsid w:val="00E208DE"/>
    <w:rsid w:val="00E21F4D"/>
    <w:rsid w:val="00E26602"/>
    <w:rsid w:val="00E327BE"/>
    <w:rsid w:val="00E32EBA"/>
    <w:rsid w:val="00E3454D"/>
    <w:rsid w:val="00E3472F"/>
    <w:rsid w:val="00E4187E"/>
    <w:rsid w:val="00E43FE3"/>
    <w:rsid w:val="00E46D20"/>
    <w:rsid w:val="00E53562"/>
    <w:rsid w:val="00E53622"/>
    <w:rsid w:val="00E53951"/>
    <w:rsid w:val="00E633EC"/>
    <w:rsid w:val="00E71289"/>
    <w:rsid w:val="00E729DB"/>
    <w:rsid w:val="00E749F4"/>
    <w:rsid w:val="00E77892"/>
    <w:rsid w:val="00E8016D"/>
    <w:rsid w:val="00E824AB"/>
    <w:rsid w:val="00E8303B"/>
    <w:rsid w:val="00E83615"/>
    <w:rsid w:val="00E8723D"/>
    <w:rsid w:val="00E90213"/>
    <w:rsid w:val="00E9149F"/>
    <w:rsid w:val="00E91E9E"/>
    <w:rsid w:val="00E94B91"/>
    <w:rsid w:val="00E95DDA"/>
    <w:rsid w:val="00E95F9E"/>
    <w:rsid w:val="00EA057D"/>
    <w:rsid w:val="00EA3148"/>
    <w:rsid w:val="00EA37F9"/>
    <w:rsid w:val="00EA7578"/>
    <w:rsid w:val="00EB05E2"/>
    <w:rsid w:val="00EB2ABD"/>
    <w:rsid w:val="00EB2D8C"/>
    <w:rsid w:val="00EB69E2"/>
    <w:rsid w:val="00EC460B"/>
    <w:rsid w:val="00EC4EEE"/>
    <w:rsid w:val="00EC5F15"/>
    <w:rsid w:val="00ED0C6E"/>
    <w:rsid w:val="00ED18F6"/>
    <w:rsid w:val="00ED2C64"/>
    <w:rsid w:val="00ED6670"/>
    <w:rsid w:val="00ED7379"/>
    <w:rsid w:val="00EE4D5C"/>
    <w:rsid w:val="00EF2246"/>
    <w:rsid w:val="00F032D0"/>
    <w:rsid w:val="00F03885"/>
    <w:rsid w:val="00F04CBA"/>
    <w:rsid w:val="00F050DD"/>
    <w:rsid w:val="00F07E11"/>
    <w:rsid w:val="00F108F7"/>
    <w:rsid w:val="00F116E4"/>
    <w:rsid w:val="00F12C44"/>
    <w:rsid w:val="00F13907"/>
    <w:rsid w:val="00F166E7"/>
    <w:rsid w:val="00F17458"/>
    <w:rsid w:val="00F17963"/>
    <w:rsid w:val="00F17A79"/>
    <w:rsid w:val="00F20BDD"/>
    <w:rsid w:val="00F21BEB"/>
    <w:rsid w:val="00F21D34"/>
    <w:rsid w:val="00F25353"/>
    <w:rsid w:val="00F33180"/>
    <w:rsid w:val="00F34057"/>
    <w:rsid w:val="00F361F3"/>
    <w:rsid w:val="00F43DD9"/>
    <w:rsid w:val="00F4778D"/>
    <w:rsid w:val="00F52C30"/>
    <w:rsid w:val="00F615E3"/>
    <w:rsid w:val="00F61B9C"/>
    <w:rsid w:val="00F6301D"/>
    <w:rsid w:val="00F63782"/>
    <w:rsid w:val="00F639D2"/>
    <w:rsid w:val="00F64F0C"/>
    <w:rsid w:val="00F706D5"/>
    <w:rsid w:val="00F7215A"/>
    <w:rsid w:val="00F747C3"/>
    <w:rsid w:val="00F76037"/>
    <w:rsid w:val="00F82CFE"/>
    <w:rsid w:val="00F87C77"/>
    <w:rsid w:val="00F942B8"/>
    <w:rsid w:val="00F95974"/>
    <w:rsid w:val="00F97831"/>
    <w:rsid w:val="00FA10B5"/>
    <w:rsid w:val="00FA4075"/>
    <w:rsid w:val="00FA59CD"/>
    <w:rsid w:val="00FB2253"/>
    <w:rsid w:val="00FB4D8D"/>
    <w:rsid w:val="00FB54EF"/>
    <w:rsid w:val="00FC0F29"/>
    <w:rsid w:val="00FC3661"/>
    <w:rsid w:val="00FC647D"/>
    <w:rsid w:val="00FC6707"/>
    <w:rsid w:val="00FD1BBE"/>
    <w:rsid w:val="00FD325A"/>
    <w:rsid w:val="00FE1F21"/>
    <w:rsid w:val="00FE5D25"/>
    <w:rsid w:val="00FE6A64"/>
    <w:rsid w:val="00FE6FBE"/>
    <w:rsid w:val="00FF0039"/>
    <w:rsid w:val="00FF1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E187C"/>
  <w15:docId w15:val="{CE416B98-93EA-E843-8646-AC082E9F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6A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 w:type="paragraph" w:styleId="Header">
    <w:name w:val="header"/>
    <w:basedOn w:val="Normal"/>
    <w:link w:val="HeaderChar"/>
    <w:uiPriority w:val="99"/>
    <w:unhideWhenUsed/>
    <w:rsid w:val="0036513E"/>
    <w:pPr>
      <w:pBdr>
        <w:top w:val="nil"/>
        <w:left w:val="nil"/>
        <w:bottom w:val="nil"/>
        <w:right w:val="nil"/>
        <w:between w:val="nil"/>
        <w:bar w:val="nil"/>
      </w:pBdr>
      <w:tabs>
        <w:tab w:val="center" w:pos="4513"/>
        <w:tab w:val="right" w:pos="9026"/>
      </w:tabs>
    </w:pPr>
    <w:rPr>
      <w:rFonts w:eastAsia="Arial Unicode MS"/>
      <w:bdr w:val="nil"/>
      <w:lang w:val="en-US"/>
    </w:rPr>
  </w:style>
  <w:style w:type="character" w:customStyle="1" w:styleId="HeaderChar">
    <w:name w:val="Header Char"/>
    <w:basedOn w:val="DefaultParagraphFont"/>
    <w:link w:val="Header"/>
    <w:uiPriority w:val="99"/>
    <w:rsid w:val="0036513E"/>
    <w:rPr>
      <w:sz w:val="24"/>
      <w:szCs w:val="24"/>
      <w:lang w:val="en-US"/>
    </w:rPr>
  </w:style>
  <w:style w:type="paragraph" w:styleId="Footer">
    <w:name w:val="footer"/>
    <w:basedOn w:val="Normal"/>
    <w:link w:val="FooterChar"/>
    <w:uiPriority w:val="99"/>
    <w:unhideWhenUsed/>
    <w:rsid w:val="0036513E"/>
    <w:pPr>
      <w:pBdr>
        <w:top w:val="nil"/>
        <w:left w:val="nil"/>
        <w:bottom w:val="nil"/>
        <w:right w:val="nil"/>
        <w:between w:val="nil"/>
        <w:bar w:val="nil"/>
      </w:pBdr>
      <w:tabs>
        <w:tab w:val="center" w:pos="4513"/>
        <w:tab w:val="right" w:pos="9026"/>
      </w:tabs>
    </w:pPr>
    <w:rPr>
      <w:rFonts w:eastAsia="Arial Unicode MS"/>
      <w:bdr w:val="nil"/>
      <w:lang w:val="en-US"/>
    </w:rPr>
  </w:style>
  <w:style w:type="character" w:customStyle="1" w:styleId="FooterChar">
    <w:name w:val="Footer Char"/>
    <w:basedOn w:val="DefaultParagraphFont"/>
    <w:link w:val="Footer"/>
    <w:uiPriority w:val="99"/>
    <w:rsid w:val="0036513E"/>
    <w:rPr>
      <w:sz w:val="24"/>
      <w:szCs w:val="24"/>
      <w:lang w:val="en-US"/>
    </w:rPr>
  </w:style>
  <w:style w:type="paragraph" w:styleId="FootnoteText">
    <w:name w:val="footnote text"/>
    <w:basedOn w:val="Normal"/>
    <w:link w:val="FootnoteTextChar"/>
    <w:uiPriority w:val="99"/>
    <w:unhideWhenUsed/>
    <w:rsid w:val="0036513E"/>
    <w:pPr>
      <w:pBdr>
        <w:top w:val="nil"/>
        <w:left w:val="nil"/>
        <w:bottom w:val="nil"/>
        <w:right w:val="nil"/>
        <w:between w:val="nil"/>
        <w:bar w:val="nil"/>
      </w:pBdr>
    </w:pPr>
    <w:rPr>
      <w:rFonts w:eastAsia="Arial Unicode MS"/>
      <w:sz w:val="20"/>
      <w:szCs w:val="20"/>
      <w:bdr w:val="nil"/>
      <w:lang w:val="en-US"/>
    </w:rPr>
  </w:style>
  <w:style w:type="character" w:customStyle="1" w:styleId="FootnoteTextChar">
    <w:name w:val="Footnote Text Char"/>
    <w:basedOn w:val="DefaultParagraphFont"/>
    <w:link w:val="FootnoteText"/>
    <w:uiPriority w:val="99"/>
    <w:rsid w:val="0036513E"/>
    <w:rPr>
      <w:lang w:val="en-US"/>
    </w:rPr>
  </w:style>
  <w:style w:type="character" w:styleId="FootnoteReference">
    <w:name w:val="footnote reference"/>
    <w:basedOn w:val="DefaultParagraphFont"/>
    <w:uiPriority w:val="99"/>
    <w:semiHidden/>
    <w:unhideWhenUsed/>
    <w:rsid w:val="0036513E"/>
    <w:rPr>
      <w:vertAlign w:val="superscript"/>
    </w:rPr>
  </w:style>
  <w:style w:type="character" w:styleId="CommentReference">
    <w:name w:val="annotation reference"/>
    <w:basedOn w:val="DefaultParagraphFont"/>
    <w:uiPriority w:val="99"/>
    <w:semiHidden/>
    <w:unhideWhenUsed/>
    <w:rsid w:val="00C55465"/>
    <w:rPr>
      <w:sz w:val="16"/>
      <w:szCs w:val="16"/>
    </w:rPr>
  </w:style>
  <w:style w:type="paragraph" w:styleId="CommentText">
    <w:name w:val="annotation text"/>
    <w:basedOn w:val="Normal"/>
    <w:link w:val="CommentTextChar"/>
    <w:uiPriority w:val="99"/>
    <w:semiHidden/>
    <w:unhideWhenUsed/>
    <w:rsid w:val="00C55465"/>
    <w:rPr>
      <w:sz w:val="20"/>
      <w:szCs w:val="20"/>
    </w:rPr>
  </w:style>
  <w:style w:type="character" w:customStyle="1" w:styleId="CommentTextChar">
    <w:name w:val="Comment Text Char"/>
    <w:basedOn w:val="DefaultParagraphFont"/>
    <w:link w:val="CommentText"/>
    <w:uiPriority w:val="99"/>
    <w:semiHidden/>
    <w:rsid w:val="00C55465"/>
    <w:rPr>
      <w:lang w:val="en-US"/>
    </w:rPr>
  </w:style>
  <w:style w:type="paragraph" w:styleId="CommentSubject">
    <w:name w:val="annotation subject"/>
    <w:basedOn w:val="CommentText"/>
    <w:next w:val="CommentText"/>
    <w:link w:val="CommentSubjectChar"/>
    <w:uiPriority w:val="99"/>
    <w:semiHidden/>
    <w:unhideWhenUsed/>
    <w:rsid w:val="00C55465"/>
    <w:rPr>
      <w:b/>
      <w:bCs/>
    </w:rPr>
  </w:style>
  <w:style w:type="character" w:customStyle="1" w:styleId="CommentSubjectChar">
    <w:name w:val="Comment Subject Char"/>
    <w:basedOn w:val="CommentTextChar"/>
    <w:link w:val="CommentSubject"/>
    <w:uiPriority w:val="99"/>
    <w:semiHidden/>
    <w:rsid w:val="00C55465"/>
    <w:rPr>
      <w:b/>
      <w:bCs/>
      <w:lang w:val="en-US"/>
    </w:rPr>
  </w:style>
  <w:style w:type="paragraph" w:styleId="BalloonText">
    <w:name w:val="Balloon Text"/>
    <w:basedOn w:val="Normal"/>
    <w:link w:val="BalloonTextChar"/>
    <w:uiPriority w:val="99"/>
    <w:semiHidden/>
    <w:unhideWhenUsed/>
    <w:rsid w:val="00C55465"/>
    <w:rPr>
      <w:sz w:val="18"/>
      <w:szCs w:val="18"/>
    </w:rPr>
  </w:style>
  <w:style w:type="character" w:customStyle="1" w:styleId="BalloonTextChar">
    <w:name w:val="Balloon Text Char"/>
    <w:basedOn w:val="DefaultParagraphFont"/>
    <w:link w:val="BalloonText"/>
    <w:uiPriority w:val="99"/>
    <w:semiHidden/>
    <w:rsid w:val="00C55465"/>
    <w:rPr>
      <w:sz w:val="18"/>
      <w:szCs w:val="18"/>
      <w:lang w:val="en-US"/>
    </w:rPr>
  </w:style>
  <w:style w:type="character" w:styleId="UnresolvedMention">
    <w:name w:val="Unresolved Mention"/>
    <w:basedOn w:val="DefaultParagraphFont"/>
    <w:uiPriority w:val="99"/>
    <w:semiHidden/>
    <w:unhideWhenUsed/>
    <w:rsid w:val="00EA7578"/>
    <w:rPr>
      <w:color w:val="605E5C"/>
      <w:shd w:val="clear" w:color="auto" w:fill="E1DFDD"/>
    </w:rPr>
  </w:style>
  <w:style w:type="paragraph" w:styleId="NormalWeb">
    <w:name w:val="Normal (Web)"/>
    <w:basedOn w:val="Normal"/>
    <w:uiPriority w:val="99"/>
    <w:semiHidden/>
    <w:unhideWhenUsed/>
    <w:rsid w:val="005F4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8340">
      <w:bodyDiv w:val="1"/>
      <w:marLeft w:val="0"/>
      <w:marRight w:val="0"/>
      <w:marTop w:val="0"/>
      <w:marBottom w:val="0"/>
      <w:divBdr>
        <w:top w:val="none" w:sz="0" w:space="0" w:color="auto"/>
        <w:left w:val="none" w:sz="0" w:space="0" w:color="auto"/>
        <w:bottom w:val="none" w:sz="0" w:space="0" w:color="auto"/>
        <w:right w:val="none" w:sz="0" w:space="0" w:color="auto"/>
      </w:divBdr>
    </w:div>
    <w:div w:id="382873603">
      <w:bodyDiv w:val="1"/>
      <w:marLeft w:val="0"/>
      <w:marRight w:val="0"/>
      <w:marTop w:val="0"/>
      <w:marBottom w:val="0"/>
      <w:divBdr>
        <w:top w:val="none" w:sz="0" w:space="0" w:color="auto"/>
        <w:left w:val="none" w:sz="0" w:space="0" w:color="auto"/>
        <w:bottom w:val="none" w:sz="0" w:space="0" w:color="auto"/>
        <w:right w:val="none" w:sz="0" w:space="0" w:color="auto"/>
      </w:divBdr>
      <w:divsChild>
        <w:div w:id="1491167230">
          <w:marLeft w:val="0"/>
          <w:marRight w:val="0"/>
          <w:marTop w:val="0"/>
          <w:marBottom w:val="0"/>
          <w:divBdr>
            <w:top w:val="none" w:sz="0" w:space="0" w:color="auto"/>
            <w:left w:val="none" w:sz="0" w:space="0" w:color="auto"/>
            <w:bottom w:val="none" w:sz="0" w:space="0" w:color="auto"/>
            <w:right w:val="none" w:sz="0" w:space="0" w:color="auto"/>
          </w:divBdr>
          <w:divsChild>
            <w:div w:id="731932304">
              <w:marLeft w:val="0"/>
              <w:marRight w:val="0"/>
              <w:marTop w:val="0"/>
              <w:marBottom w:val="0"/>
              <w:divBdr>
                <w:top w:val="none" w:sz="0" w:space="0" w:color="auto"/>
                <w:left w:val="none" w:sz="0" w:space="0" w:color="auto"/>
                <w:bottom w:val="none" w:sz="0" w:space="0" w:color="auto"/>
                <w:right w:val="none" w:sz="0" w:space="0" w:color="auto"/>
              </w:divBdr>
              <w:divsChild>
                <w:div w:id="17618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29295">
      <w:bodyDiv w:val="1"/>
      <w:marLeft w:val="0"/>
      <w:marRight w:val="0"/>
      <w:marTop w:val="0"/>
      <w:marBottom w:val="0"/>
      <w:divBdr>
        <w:top w:val="none" w:sz="0" w:space="0" w:color="auto"/>
        <w:left w:val="none" w:sz="0" w:space="0" w:color="auto"/>
        <w:bottom w:val="none" w:sz="0" w:space="0" w:color="auto"/>
        <w:right w:val="none" w:sz="0" w:space="0" w:color="auto"/>
      </w:divBdr>
      <w:divsChild>
        <w:div w:id="1103384229">
          <w:marLeft w:val="0"/>
          <w:marRight w:val="0"/>
          <w:marTop w:val="0"/>
          <w:marBottom w:val="0"/>
          <w:divBdr>
            <w:top w:val="none" w:sz="0" w:space="0" w:color="auto"/>
            <w:left w:val="none" w:sz="0" w:space="0" w:color="auto"/>
            <w:bottom w:val="none" w:sz="0" w:space="0" w:color="auto"/>
            <w:right w:val="none" w:sz="0" w:space="0" w:color="auto"/>
          </w:divBdr>
          <w:divsChild>
            <w:div w:id="1757286256">
              <w:marLeft w:val="0"/>
              <w:marRight w:val="0"/>
              <w:marTop w:val="0"/>
              <w:marBottom w:val="0"/>
              <w:divBdr>
                <w:top w:val="none" w:sz="0" w:space="0" w:color="auto"/>
                <w:left w:val="none" w:sz="0" w:space="0" w:color="auto"/>
                <w:bottom w:val="none" w:sz="0" w:space="0" w:color="auto"/>
                <w:right w:val="none" w:sz="0" w:space="0" w:color="auto"/>
              </w:divBdr>
              <w:divsChild>
                <w:div w:id="6134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89076">
      <w:bodyDiv w:val="1"/>
      <w:marLeft w:val="0"/>
      <w:marRight w:val="0"/>
      <w:marTop w:val="0"/>
      <w:marBottom w:val="0"/>
      <w:divBdr>
        <w:top w:val="none" w:sz="0" w:space="0" w:color="auto"/>
        <w:left w:val="none" w:sz="0" w:space="0" w:color="auto"/>
        <w:bottom w:val="none" w:sz="0" w:space="0" w:color="auto"/>
        <w:right w:val="none" w:sz="0" w:space="0" w:color="auto"/>
      </w:divBdr>
    </w:div>
    <w:div w:id="771167137">
      <w:bodyDiv w:val="1"/>
      <w:marLeft w:val="0"/>
      <w:marRight w:val="0"/>
      <w:marTop w:val="0"/>
      <w:marBottom w:val="0"/>
      <w:divBdr>
        <w:top w:val="none" w:sz="0" w:space="0" w:color="auto"/>
        <w:left w:val="none" w:sz="0" w:space="0" w:color="auto"/>
        <w:bottom w:val="none" w:sz="0" w:space="0" w:color="auto"/>
        <w:right w:val="none" w:sz="0" w:space="0" w:color="auto"/>
      </w:divBdr>
    </w:div>
    <w:div w:id="1309825781">
      <w:bodyDiv w:val="1"/>
      <w:marLeft w:val="0"/>
      <w:marRight w:val="0"/>
      <w:marTop w:val="0"/>
      <w:marBottom w:val="0"/>
      <w:divBdr>
        <w:top w:val="none" w:sz="0" w:space="0" w:color="auto"/>
        <w:left w:val="none" w:sz="0" w:space="0" w:color="auto"/>
        <w:bottom w:val="none" w:sz="0" w:space="0" w:color="auto"/>
        <w:right w:val="none" w:sz="0" w:space="0" w:color="auto"/>
      </w:divBdr>
      <w:divsChild>
        <w:div w:id="105930901">
          <w:marLeft w:val="0"/>
          <w:marRight w:val="0"/>
          <w:marTop w:val="0"/>
          <w:marBottom w:val="0"/>
          <w:divBdr>
            <w:top w:val="none" w:sz="0" w:space="0" w:color="auto"/>
            <w:left w:val="none" w:sz="0" w:space="0" w:color="auto"/>
            <w:bottom w:val="none" w:sz="0" w:space="0" w:color="auto"/>
            <w:right w:val="none" w:sz="0" w:space="0" w:color="auto"/>
          </w:divBdr>
          <w:divsChild>
            <w:div w:id="2060006153">
              <w:marLeft w:val="0"/>
              <w:marRight w:val="0"/>
              <w:marTop w:val="0"/>
              <w:marBottom w:val="0"/>
              <w:divBdr>
                <w:top w:val="none" w:sz="0" w:space="0" w:color="auto"/>
                <w:left w:val="none" w:sz="0" w:space="0" w:color="auto"/>
                <w:bottom w:val="none" w:sz="0" w:space="0" w:color="auto"/>
                <w:right w:val="none" w:sz="0" w:space="0" w:color="auto"/>
              </w:divBdr>
              <w:divsChild>
                <w:div w:id="13559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4374">
      <w:bodyDiv w:val="1"/>
      <w:marLeft w:val="0"/>
      <w:marRight w:val="0"/>
      <w:marTop w:val="0"/>
      <w:marBottom w:val="0"/>
      <w:divBdr>
        <w:top w:val="none" w:sz="0" w:space="0" w:color="auto"/>
        <w:left w:val="none" w:sz="0" w:space="0" w:color="auto"/>
        <w:bottom w:val="none" w:sz="0" w:space="0" w:color="auto"/>
        <w:right w:val="none" w:sz="0" w:space="0" w:color="auto"/>
      </w:divBdr>
      <w:divsChild>
        <w:div w:id="800879139">
          <w:marLeft w:val="0"/>
          <w:marRight w:val="0"/>
          <w:marTop w:val="0"/>
          <w:marBottom w:val="0"/>
          <w:divBdr>
            <w:top w:val="none" w:sz="0" w:space="0" w:color="auto"/>
            <w:left w:val="none" w:sz="0" w:space="0" w:color="auto"/>
            <w:bottom w:val="none" w:sz="0" w:space="0" w:color="auto"/>
            <w:right w:val="none" w:sz="0" w:space="0" w:color="auto"/>
          </w:divBdr>
          <w:divsChild>
            <w:div w:id="794907431">
              <w:marLeft w:val="0"/>
              <w:marRight w:val="0"/>
              <w:marTop w:val="0"/>
              <w:marBottom w:val="0"/>
              <w:divBdr>
                <w:top w:val="none" w:sz="0" w:space="0" w:color="auto"/>
                <w:left w:val="none" w:sz="0" w:space="0" w:color="auto"/>
                <w:bottom w:val="none" w:sz="0" w:space="0" w:color="auto"/>
                <w:right w:val="none" w:sz="0" w:space="0" w:color="auto"/>
              </w:divBdr>
              <w:divsChild>
                <w:div w:id="7238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75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venice.coe.int/webforms/documents/?pdf=CDL-AD(2017)031-e" TargetMode="External"/><Relationship Id="rId2" Type="http://schemas.openxmlformats.org/officeDocument/2006/relationships/hyperlink" Target="https://www.venice.coe.int/webforms/documents/?pdf=CDL-AD(2016)026-e" TargetMode="External"/><Relationship Id="rId1" Type="http://schemas.openxmlformats.org/officeDocument/2006/relationships/hyperlink" Target="https://rm.coe.int/1680696b7f" TargetMode="External"/><Relationship Id="rId4" Type="http://schemas.openxmlformats.org/officeDocument/2006/relationships/hyperlink" Target="https://www.ceps.eu/system/files/SCandVM_ROL.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1179</TotalTime>
  <Pages>1</Pages>
  <Words>9717</Words>
  <Characters>55389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409</cp:revision>
  <cp:lastPrinted>2018-11-08T11:33:00Z</cp:lastPrinted>
  <dcterms:created xsi:type="dcterms:W3CDTF">2018-08-07T06:31:00Z</dcterms:created>
  <dcterms:modified xsi:type="dcterms:W3CDTF">2018-12-12T10:33:00Z</dcterms:modified>
</cp:coreProperties>
</file>